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Anexa nr. 12 la </w:t>
      </w:r>
      <w:r w:rsidDel="00000000" w:rsidR="00000000" w:rsidRPr="00000000">
        <w:rPr>
          <w:sz w:val="20"/>
          <w:szCs w:val="20"/>
          <w:rtl w:val="0"/>
        </w:rPr>
        <w:t xml:space="preserve">Decizia IES-DEC nr. </w:t>
      </w:r>
      <w:r w:rsidDel="00000000" w:rsidR="00000000" w:rsidRPr="00000000">
        <w:rPr>
          <w:sz w:val="20"/>
          <w:szCs w:val="20"/>
          <w:rtl w:val="0"/>
        </w:rPr>
        <w:t xml:space="preserve">64 / 08.07.2026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 de raportare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Programul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Energie! Burse de creație</w:t>
      </w:r>
      <w:r w:rsidDel="00000000" w:rsidR="00000000" w:rsidRPr="00000000">
        <w:rPr>
          <w:sz w:val="26"/>
          <w:szCs w:val="26"/>
          <w:rtl w:val="0"/>
        </w:rPr>
        <w:t xml:space="preserve">, derulat de Centrul de Proiecte al Municipiului Timișoara în anul 2026</w:t>
      </w:r>
    </w:p>
    <w:p w:rsidR="00000000" w:rsidDel="00000000" w:rsidP="00000000" w:rsidRDefault="00000000" w:rsidRPr="00000000" w14:paraId="00000005">
      <w:pPr>
        <w:spacing w:after="16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Contract: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IES-CFN nr.</w:t>
      </w:r>
      <w:r w:rsidDel="00000000" w:rsidR="00000000" w:rsidRPr="00000000">
        <w:rPr>
          <w:sz w:val="20"/>
          <w:szCs w:val="20"/>
          <w:rtl w:val="0"/>
        </w:rPr>
        <w:t xml:space="preserve"> ___ / ___________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Nume și Prenume legal beneficiar bursă:  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Perioada implementării (conform contractului): ______________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Titlul planului de creație / a operelor realizate: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Perioada desfășurării activităților de creație: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Descrierea activităților de creație desfăşurate:</w:t>
      </w:r>
    </w:p>
    <w:p w:rsidR="00000000" w:rsidDel="00000000" w:rsidP="00000000" w:rsidRDefault="00000000" w:rsidRPr="00000000" w14:paraId="00000019">
      <w:pPr>
        <w:spacing w:after="100" w:before="240" w:line="24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(Listați activitățile derulate în perioada bursei și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prezentați-le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în mod narativ, coerent și ușor de urmărit.)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Descrierea evenimentelor  publice:</w:t>
      </w:r>
    </w:p>
    <w:p w:rsidR="00000000" w:rsidDel="00000000" w:rsidP="00000000" w:rsidRDefault="00000000" w:rsidRPr="00000000" w14:paraId="0000001E">
      <w:pPr>
        <w:spacing w:after="10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(Detaliați activitățile cu public, ex.: dezbatere, masă rotundă, focus grup, concert, spectacol, proiecție, expoziție, cafenele literare etc. 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Persoane sau organizații cu care ați colaborat în perioada bursei: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Rezultate (fotografii, texte, afișe, publicații, înregistrări audio-video, etc.):</w:t>
      </w:r>
    </w:p>
    <w:p w:rsidR="00000000" w:rsidDel="00000000" w:rsidP="00000000" w:rsidRDefault="00000000" w:rsidRPr="00000000" w14:paraId="0000002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Prezentarea rezultatelor și continuitate (concluzii, recomandări, rezultate obținute în urma desfășurării activităților de creație):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00" w:line="276" w:lineRule="auto"/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Cum a fost menționat finanțatorul Centrul de Proiecte al Municipiului Timișoara în relație cu bursa (în afișe, comunicate, invitații, prezentări, etc):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predării raportului: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Semnătura beneficiarului de bursă: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spacing w:after="100" w:before="100" w:lineRule="auto"/>
        <w:ind w:left="283.46456692913375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231.77165354331" w:top="1440" w:left="1700" w:right="1711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din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ind w:left="-1559" w:firstLine="0"/>
      <w:rPr>
        <w:b w:val="1"/>
        <w:bCs w:val="1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-9508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color w:val="3c4043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ind w:left="-1559" w:firstLine="0"/>
      <w:rPr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bIWkmHaRnXblfc2A9Q6tCwxsw==">CgMxLjA4AHIhMUJVaTFQY29iRnZTazJTdTFqZGduTVJkbU94S1FoRkU0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