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00" w:before="0" w:line="240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PV-REC nr. __ / __.__.2026</w:t>
      </w:r>
    </w:p>
    <w:p w:rsidR="00000000" w:rsidDel="00000000" w:rsidP="00000000" w:rsidRDefault="00000000" w:rsidRPr="00000000" w14:paraId="00000002">
      <w:pPr>
        <w:pageBreakBefore w:val="0"/>
        <w:spacing w:after="100" w:before="0" w:line="240" w:lineRule="auto"/>
        <w:ind w:left="0" w:firstLine="0"/>
        <w:rPr>
          <w:rFonts w:ascii="Inter" w:cs="Inter" w:eastAsia="Inter" w:hAnsi="Inter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0" w:line="240" w:lineRule="auto"/>
        <w:ind w:left="0" w:firstLine="0"/>
        <w:jc w:val="left"/>
        <w:rPr>
          <w:rFonts w:ascii="Inter" w:cs="Inter" w:eastAsia="Inter" w:hAnsi="Inter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8"/>
          <w:szCs w:val="28"/>
          <w:rtl w:val="0"/>
        </w:rPr>
        <w:t xml:space="preserve">Proces verbal | Anexa 4</w:t>
      </w:r>
    </w:p>
    <w:p w:rsidR="00000000" w:rsidDel="00000000" w:rsidP="00000000" w:rsidRDefault="00000000" w:rsidRPr="00000000" w14:paraId="00000004">
      <w:pPr>
        <w:spacing w:after="100" w:before="0" w:line="276" w:lineRule="auto"/>
        <w:ind w:left="0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0" w:line="276" w:lineRule="auto"/>
        <w:ind w:left="0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0" w:line="276" w:lineRule="auto"/>
        <w:ind w:left="0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Încheiat astăzi, __________________, cu ocazia centralizării rezultatelor evaluării aplicațiilor la apelul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, derulat în perioada ianuarie - martie 2026 de Centrul de Proiecte al Municipiului Timișoara,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ind w:left="0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Comisia de evaluare numită prin decizia __________________________ a evaluat un număr de ______ de aplicații depuse, urmărind respectarea criteriilor prevăzute în Regulament (Anexa 1 la Decizie), cu rezultatele următoare: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0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5.0" w:type="dxa"/>
        <w:jc w:val="left"/>
        <w:tblInd w:w="141.0" w:type="dxa"/>
        <w:tblLayout w:type="fixed"/>
        <w:tblLook w:val="0600"/>
      </w:tblPr>
      <w:tblGrid>
        <w:gridCol w:w="645"/>
        <w:gridCol w:w="2385"/>
        <w:gridCol w:w="2235"/>
        <w:gridCol w:w="960"/>
        <w:gridCol w:w="2130"/>
        <w:tblGridChange w:id="0">
          <w:tblGrid>
            <w:gridCol w:w="645"/>
            <w:gridCol w:w="2385"/>
            <w:gridCol w:w="2235"/>
            <w:gridCol w:w="960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Nr. crt.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Nume și Prenume / Denumire aplicant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Titlul activității / activităților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Punctaj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Rezultat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Lines w:val="1"/>
              <w:widowControl w:val="0"/>
              <w:spacing w:line="240" w:lineRule="auto"/>
              <w:ind w:left="0" w:firstLine="0"/>
              <w:jc w:val="right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Lines w:val="1"/>
              <w:widowControl w:val="0"/>
              <w:spacing w:after="0" w:before="0" w:line="240" w:lineRule="auto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Lines w:val="1"/>
              <w:widowControl w:val="0"/>
              <w:spacing w:after="0" w:before="0" w:line="240" w:lineRule="auto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Lines w:val="1"/>
              <w:widowControl w:val="0"/>
              <w:spacing w:after="0" w:before="0" w:line="240" w:lineRule="auto"/>
              <w:ind w:left="0" w:firstLine="0"/>
              <w:rPr>
                <w:rFonts w:ascii="Inter" w:cs="Inter" w:eastAsia="Inter" w:hAnsi="Inter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Lines w:val="1"/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Lines w:val="1"/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Lines w:val="1"/>
              <w:widowControl w:val="0"/>
              <w:spacing w:line="240" w:lineRule="auto"/>
              <w:ind w:left="0" w:firstLine="0"/>
              <w:jc w:val="right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Lines w:val="1"/>
              <w:widowControl w:val="0"/>
              <w:spacing w:line="240" w:lineRule="auto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Lines w:val="1"/>
              <w:widowControl w:val="0"/>
              <w:spacing w:line="240" w:lineRule="auto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Lines w:val="1"/>
              <w:widowControl w:val="0"/>
              <w:spacing w:after="0" w:before="0" w:line="240" w:lineRule="auto"/>
              <w:ind w:left="0" w:firstLine="0"/>
              <w:rPr>
                <w:rFonts w:ascii="Inter" w:cs="Inter" w:eastAsia="Inter" w:hAnsi="Inter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Lines w:val="1"/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Lines w:val="1"/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.04545454545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Lines w:val="1"/>
              <w:widowControl w:val="0"/>
              <w:spacing w:line="240" w:lineRule="auto"/>
              <w:ind w:left="0" w:firstLine="0"/>
              <w:jc w:val="right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Lines w:val="1"/>
              <w:widowControl w:val="0"/>
              <w:spacing w:line="240" w:lineRule="auto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Lines w:val="1"/>
              <w:widowControl w:val="0"/>
              <w:spacing w:after="0" w:before="0" w:line="240" w:lineRule="auto"/>
              <w:ind w:left="0" w:firstLine="0"/>
              <w:rPr>
                <w:rFonts w:ascii="Inter" w:cs="Inter" w:eastAsia="Inter" w:hAnsi="Inter"/>
                <w:color w:val="000000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Lines w:val="1"/>
              <w:widowControl w:val="0"/>
              <w:spacing w:line="240" w:lineRule="auto"/>
              <w:ind w:left="0" w:firstLine="0"/>
              <w:jc w:val="center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Lines w:val="1"/>
              <w:widowControl w:val="0"/>
              <w:spacing w:line="240" w:lineRule="auto"/>
              <w:jc w:val="center"/>
              <w:rPr>
                <w:rFonts w:ascii="Inter" w:cs="Inter" w:eastAsia="Inter" w:hAnsi="Int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22">
      <w:pPr>
        <w:spacing w:line="240" w:lineRule="auto"/>
        <w:rPr>
          <w:rFonts w:ascii="Inter" w:cs="Inter" w:eastAsia="Inter" w:hAnsi="Inter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Inter" w:cs="Inter" w:eastAsia="Inter" w:hAnsi="Inter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Inter" w:cs="Inter" w:eastAsia="Inter" w:hAnsi="Inter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Comisia de evaluare,</w:t>
        <w:tab/>
        <w:tab/>
        <w:tab/>
        <w:tab/>
        <w:tab/>
        <w:tab/>
        <w:tab/>
        <w:tab/>
        <w:t xml:space="preserve">Secretar,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Evaluator 1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Evaluator 2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Evaluator 3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Inter" w:cs="Inter" w:eastAsia="Inter" w:hAnsi="Inter"/>
        <w:i w:val="0"/>
        <w:iCs w:val="0"/>
        <w:smallCaps w:val="0"/>
        <w:strike w:val="0"/>
        <w:color w:val="3c4043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>
        <w:rFonts w:ascii="Inter" w:cs="Inter" w:eastAsia="Inter" w:hAnsi="Inter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>
        <w:rFonts w:ascii="Inter" w:cs="Inter" w:eastAsia="Inter" w:hAnsi="Inter"/>
        <w:sz w:val="20"/>
        <w:szCs w:val="20"/>
      </w:rPr>
    </w:pP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0" w:firstLine="0"/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b w:val="1"/>
        <w:bCs w:val="1"/>
        <w:color w:val="000000"/>
        <w:sz w:val="16"/>
        <w:szCs w:val="16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4610100</wp:posOffset>
          </wp:positionH>
          <wp:positionV relativeFrom="paragraph">
            <wp:posOffset>0</wp:posOffset>
          </wp:positionV>
          <wp:extent cx="579755" cy="57975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75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ind w:left="0" w:firstLine="0"/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color w:val="000000"/>
        <w:sz w:val="16"/>
        <w:szCs w:val="16"/>
        <w:rtl w:val="0"/>
      </w:rPr>
      <w:t xml:space="preserve">Str. Vasile Alecsandri, nr. 1, SAD 7 | </w:t>
    </w:r>
    <w:r w:rsidDel="00000000" w:rsidR="00000000" w:rsidRPr="00000000">
      <w:rPr>
        <w:color w:val="000000"/>
        <w:sz w:val="16"/>
        <w:szCs w:val="16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0" w:firstLine="0"/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0" w:firstLine="0"/>
      <w:rPr>
        <w:rFonts w:ascii="Inter" w:cs="Inter" w:eastAsia="Inter" w:hAnsi="Inter"/>
        <w:color w:val="000000"/>
        <w:sz w:val="16"/>
        <w:szCs w:val="16"/>
      </w:rPr>
    </w:pPr>
    <w:hyperlink r:id="rId2">
      <w:r w:rsidDel="00000000" w:rsidR="00000000" w:rsidRPr="00000000">
        <w:rPr>
          <w:rFonts w:ascii="Inter" w:cs="Inter" w:eastAsia="Inter" w:hAnsi="Inter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0" w:firstLine="0"/>
      <w:rPr>
        <w:rFonts w:ascii="Inter" w:cs="Inter" w:eastAsia="Inter" w:hAnsi="Inter"/>
        <w:color w:val="000000"/>
        <w:sz w:val="16"/>
        <w:szCs w:val="16"/>
      </w:rPr>
    </w:pPr>
    <w:hyperlink r:id="rId3">
      <w:r w:rsidDel="00000000" w:rsidR="00000000" w:rsidRPr="00000000">
        <w:rPr>
          <w:rFonts w:ascii="Inter" w:cs="Inter" w:eastAsia="Inter" w:hAnsi="Inter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0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Fonts w:ascii="Inter" w:cs="Inter" w:eastAsia="Inter" w:hAnsi="Inter"/>
        <w:color w:val="000000"/>
        <w:sz w:val="16"/>
        <w:szCs w:val="16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3c4043"/>
      <w:sz w:val="40"/>
      <w:szCs w:val="40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3c4043"/>
      <w:sz w:val="32"/>
      <w:szCs w:val="32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434343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666666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666666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1"/>
      <w:iCs w:val="1"/>
      <w:smallCaps w:val="0"/>
      <w:strike w:val="0"/>
      <w:color w:val="666666"/>
      <w:sz w:val="22"/>
      <w:szCs w:val="22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3c4043"/>
      <w:sz w:val="52"/>
      <w:szCs w:val="52"/>
      <w:highlight w:val="white"/>
      <w:u w:val="none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Roboto" w:cs="Roboto" w:eastAsia="Roboto" w:hAnsi="Roboto"/>
      <w:color w:val="3c4043"/>
      <w:kern w:val="0"/>
      <w:sz w:val="21"/>
      <w:szCs w:val="21"/>
      <w:highlight w:val="white"/>
      <w:lang w:bidi="hi-IN" w:eastAsia="zh-CN" w:val="ro-RO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highlight w:val="white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/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GfXVtTif3fM9dr+IWGpxw1pTEA==">CgMxLjA4AHIhMVpnTWxHNjRjY2FwNlJfdE4wNGg5RnYwclRaNktwdFFt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