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 80 / 27.08.2025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Formular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Fondul pentru nevoi culturale de urgență II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E-mail*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Program de finanțare*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Fondul pentru nevoi culturale de urgență 2025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Cultura în prezent 2025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Tineret în acțiune 2025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Energie! Burse de creație 2025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Timișoara - Obiectiv Cinema 2025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Școli creative 2025-2026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Repere în cultură 2024-2027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Repere în cultură 2026-2027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Titlul proiectului*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Titlul evenimentului / activității cu beneficiarii direcți*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începerii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finalizării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Locația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Programul evenimentului / activității (orar)*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Domeniu*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Arte vizuale și plastice, artă conceptuală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Film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Artă digitală și noile medii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Artele spectacolului (teatru, dans,  muzică etc.)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Arhitectură și urbanism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Cultură scrisă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Educație prin cultură și intervenție culturală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Patrimoniu cultural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Știință și tehnologie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Tip eveniment / activitate*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Artist Talk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Atelier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Audiție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Ceremonie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Concert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Concurs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Conferință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Dezbatere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DJ Set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Electronic Live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comunitar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de modă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online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Expoziție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Festival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Finisaj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Formare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Instalație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Intervenție artistică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Lansare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Lansare de carte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Lectură publică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 / DJ Set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Performance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Prelegere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Prezentare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Proiecție de film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Proiecție video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Silent Disco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balet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circ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dans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operă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teatru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Spoken Word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Tabără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Târg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Tur ghidat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Vernisaj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Video-mapping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Descrierea evenimentului / activității*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Declarație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Link-uri relevante*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Pagină web sau eveniment Facebook</w:t>
      </w:r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Imagine reprezentativă pentru eveniment / activitate*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sz w:val="16"/>
        <w:szCs w:val="16"/>
        <w:highlight w:val="white"/>
      </w:rPr>
    </w:pPr>
    <w:r w:rsidDel="00000000" w:rsidR="00000000" w:rsidRPr="00000000">
      <w:rPr>
        <w:b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-9504</wp:posOffset>
          </wp:positionV>
          <wp:extent cx="579938" cy="5799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0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c5CgJp7s5GQvR7Tiga0Qsv22Q==">CgMxLjA4AHIhMVZlWjV5MTAwZXM5d09Zc0ZVSFZDdG5sNkxvMWhkb3RX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2025-04-07T10:14:00Z</dcterms:created>
</cp:coreProperties>
</file>