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9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Repere în cultură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w:t>
      </w:r>
      <w:r w:rsidDel="00000000" w:rsidR="00000000" w:rsidRPr="00000000">
        <w:rPr>
          <w:rFonts w:ascii="Arial" w:cs="Arial" w:eastAsia="Arial" w:hAnsi="Arial"/>
          <w:sz w:val="28"/>
          <w:szCs w:val="28"/>
          <w:rtl w:val="0"/>
        </w:rPr>
        <w:t xml:space="preserve">perioada 2026-2027</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Repere în cultură 2026-2027,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w:t>
      </w:r>
      <w:r w:rsidDel="00000000" w:rsidR="00000000" w:rsidRPr="00000000">
        <w:rPr>
          <w:rFonts w:ascii="Arial" w:cs="Arial" w:eastAsia="Arial" w:hAnsi="Arial"/>
          <w:sz w:val="20"/>
          <w:szCs w:val="20"/>
          <w:rtl w:val="0"/>
        </w:rPr>
        <w:t xml:space="preserve">perioada 2026-2027,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Repere în cultură 2026-2027 </w:t>
      </w:r>
      <w:r w:rsidDel="00000000" w:rsidR="00000000" w:rsidRPr="00000000">
        <w:rPr>
          <w:rFonts w:ascii="Arial" w:cs="Arial" w:eastAsia="Arial" w:hAnsi="Arial"/>
          <w:sz w:val="20"/>
          <w:szCs w:val="20"/>
          <w:rtl w:val="0"/>
        </w:rPr>
        <w:t xml:space="preserve">a proiectului cultural mai sus menționat, </w:t>
      </w:r>
    </w:p>
    <w:p w:rsidR="00000000" w:rsidDel="00000000" w:rsidP="00000000" w:rsidRDefault="00000000" w:rsidRPr="00000000" w14:paraId="0000000A">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w:t>
          </w:r>
        </w:sdtContent>
      </w:sdt>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E">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0F">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1">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8">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9">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w:t>
      </w:r>
      <w:r w:rsidDel="00000000" w:rsidR="00000000" w:rsidRPr="00000000">
        <w:rPr>
          <w:rFonts w:ascii="Arial" w:cs="Arial" w:eastAsia="Arial" w:hAnsi="Arial"/>
          <w:sz w:val="20"/>
          <w:szCs w:val="20"/>
          <w:highlight w:val="white"/>
          <w:rtl w:val="0"/>
        </w:rPr>
        <w:t xml:space="preserve">anexe l</w:t>
      </w:r>
      <w:r w:rsidDel="00000000" w:rsidR="00000000" w:rsidRPr="00000000">
        <w:rPr>
          <w:rFonts w:ascii="Arial" w:cs="Arial" w:eastAsia="Arial" w:hAnsi="Arial"/>
          <w:sz w:val="20"/>
          <w:szCs w:val="20"/>
          <w:rtl w:val="0"/>
        </w:rPr>
        <w:t xml:space="preserve">a Decizia  IES-DEC nr. ___ / __________.</w:t>
      </w:r>
    </w:p>
    <w:p w:rsidR="00000000" w:rsidDel="00000000" w:rsidP="00000000" w:rsidRDefault="00000000" w:rsidRPr="00000000" w14:paraId="0000001B">
      <w:pPr>
        <w:spacing w:after="100" w:before="100" w:line="276" w:lineRule="auto"/>
        <w:ind w:left="283"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C">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D">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 în cadrul programului.</w:t>
      </w:r>
    </w:p>
    <w:p w:rsidR="00000000" w:rsidDel="00000000" w:rsidP="00000000" w:rsidRDefault="00000000" w:rsidRPr="00000000" w14:paraId="0000001F">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1">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3">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5">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9">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A">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B">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E">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2F">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0">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3">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eventualele venituri obținute în cadrul proiectului (de ex. venituri din vânzarea de bilete, taxe de participare etc) nu vor depăși 20% din bugetul total. Totodată, veniturile obținute se vor întoarce integral în proiect, prin cheltuieli efectuate în perioada implementării acestuia.</w:t>
      </w:r>
    </w:p>
    <w:p w:rsidR="00000000" w:rsidDel="00000000" w:rsidP="00000000" w:rsidRDefault="00000000" w:rsidRPr="00000000" w14:paraId="00000035">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7">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9">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B">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C">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D">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3F">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1">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D">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pRlGu2CKWlzWN2Wx7L3W0tdzTw==">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WtGZGJPMlRkTjRvWWNNWTZtZldVZTg4ZU5fVG1KWj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