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Cultura în prezent</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Cultura în prezent,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_______________</w:t>
      </w:r>
      <w:r w:rsidDel="00000000" w:rsidR="00000000" w:rsidRPr="00000000">
        <w:rPr>
          <w:rFonts w:ascii="Arial" w:cs="Arial" w:eastAsia="Arial" w:hAnsi="Arial"/>
          <w:sz w:val="20"/>
          <w:szCs w:val="20"/>
          <w:rtl w:val="0"/>
        </w:rPr>
        <w:t xml:space="preserve"> 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NRajqrauGjsQl4fXwozoAtDc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W14cFE0ODZ6Y1BvcXM0NHJSeGo4djNCMlVIdWE2eD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