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16 / 09.04.2025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Timișoara - Obiectiv Cinema</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Timișoara - Obiectiv Cinema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8oWegRP8nLujgOHQtncN2Jwew==">CgMxLjAyCGguZ2pkZ3hzMgloLjMwajB6bGwyCWguMWZvYjl0ZTgAciExZERFcVFDZ2xqWU0wUzFxNzNJQnRKSF9oQzQ4MGNMQUo=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