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Școli creative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perioada </w:t>
      </w:r>
      <w:r w:rsidDel="00000000" w:rsidR="00000000" w:rsidRPr="00000000">
        <w:rPr>
          <w:rFonts w:ascii="Arial" w:cs="Arial" w:eastAsia="Arial" w:hAnsi="Arial"/>
          <w:sz w:val="28"/>
          <w:szCs w:val="28"/>
          <w:rtl w:val="0"/>
        </w:rPr>
        <w:t xml:space="preserve">2025-2026.</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Școli creative 2025-2026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GK1Qn740M+xvOQknF7yJb6Mfg==">CgMxLjAyCGguZ2pkZ3hzMgloLjMwajB6bGwyCWguMWZvYjl0ZTgAciExLVZvT3ZYREM2d1RjZENXQURBdnZIeWZocVJVc1hfWEU=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