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8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 / 08.04.2025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Acordul de participare la mobilitate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Mobilități pentru profesioniști din sectorul cultural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Prin prezenta declarație, noi, …………………………………………….……….. (denumirea organizației), ………………………………………………………….….……….……….. (datele de identificare ale organizației), reprezentată prin ………………………..…………………….……….. (prenumele, numele și funcția persoanei), ne exprimăm acordul pentru participarea d-nei / d-lui …………………………………………….… (prenumele și numele beneficiarului) la evenimentul / proiectul (...), pe tematica / în domeniul ………………………………………, care va avea loc în perioada ………………….., în …………..……………… (țara și localitatea în care are loc mobilitatea).</w:t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Misiunea organizației gazdă: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jarc98xbjmx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Scopul mobilității și obiectivul / obiectivele de învățare / dezvoltare 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Prenume, nume și semnătură reprezentant organizație ………………………………………….… </w:t>
      </w:r>
    </w:p>
    <w:p w:rsidR="00000000" w:rsidDel="00000000" w:rsidP="00000000" w:rsidRDefault="00000000" w:rsidRPr="00000000" w14:paraId="00000013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………………………………………….… </w:t>
      </w:r>
    </w:p>
    <w:sectPr>
      <w:headerReference r:id="rId8" w:type="default"/>
      <w:footerReference r:id="rId9" w:type="default"/>
      <w:pgSz w:h="16838" w:w="11906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color w:val="00000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Pentru încheierea acordului de participare puteți folosi modelul din prezenta anexă. Alte formate sau conversații pe e-mail care cuprind același tip de informații pe care le urmărim prin această anexă, din care reiese că solicitantul a primit acordul organizației gazdă, sunt acceptate.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-9513</wp:posOffset>
          </wp:positionV>
          <wp:extent cx="579938" cy="57993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1C">
    <w:pPr>
      <w:spacing w:after="0" w:line="276" w:lineRule="auto"/>
      <w:ind w:left="-1559" w:firstLine="0"/>
      <w:rPr>
        <w:rFonts w:ascii="Arial" w:cs="Arial" w:eastAsia="Arial" w:hAnsi="Arial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B8450D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8450D"/>
  </w:style>
  <w:style w:type="paragraph" w:styleId="Footer">
    <w:name w:val="footer"/>
    <w:basedOn w:val="Normal"/>
    <w:link w:val="FooterChar"/>
    <w:uiPriority w:val="99"/>
    <w:unhideWhenUsed w:val="1"/>
    <w:rsid w:val="00B8450D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B8450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NxMCY/elVuiAyi5t0GmdDXlWA==">CgMxLjAyDmguamFyYzk4eGJqbXgxMghoLmdqZGd4czIJaC4zMGowemxsOAByITFZN1BDTHlYRzV2YVhEOHNWNENqVHlsMU1UNkRCNk5ObA==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2022-03-02T05:35:00Z</dcterms:created>
</cp:coreProperties>
</file>