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BC1B9F" w14:textId="2DEC9CB4" w:rsidR="00060AAF" w:rsidRPr="00060AAF" w:rsidRDefault="00060AAF" w:rsidP="00060AAF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Watch Day Sinagoga din Fabric - Perspective ale schimbării </w:t>
      </w:r>
    </w:p>
    <w:p w14:paraId="0050F476" w14:textId="3F601E92" w:rsidR="00060AAF" w:rsidRDefault="00060AAF" w:rsidP="00060AAF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Concluzii </w:t>
      </w:r>
    </w:p>
    <w:p w14:paraId="4C826DBE" w14:textId="77777777" w:rsidR="00060AAF" w:rsidRPr="00060AAF" w:rsidRDefault="00060AAF" w:rsidP="00060AAF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D47C4A6" w14:textId="2CD2257D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</w:rPr>
        <w:t xml:space="preserve">19 octombrie 2024 </w:t>
      </w:r>
    </w:p>
    <w:p w14:paraId="0F7C70C4" w14:textId="7777777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33FEC60D" w14:textId="7777777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Prezentările susținute în prima parte a zilei și dezbaterea care le-a urmat au permis abordarea subiectului – </w:t>
      </w:r>
      <w:r w:rsidRPr="00060AAF">
        <w:rPr>
          <w:rFonts w:ascii="Arial" w:hAnsi="Arial" w:cs="Arial"/>
          <w:i/>
          <w:iCs/>
          <w:color w:val="000000" w:themeColor="text1"/>
          <w:sz w:val="22"/>
          <w:szCs w:val="22"/>
          <w:lang w:val="ro-RO"/>
        </w:rPr>
        <w:t xml:space="preserve">configurarea în manieră participativă a programului și a temei de restaurare și </w:t>
      </w:r>
      <w:proofErr w:type="spellStart"/>
      <w:r w:rsidRPr="00060AAF">
        <w:rPr>
          <w:rFonts w:ascii="Arial" w:hAnsi="Arial" w:cs="Arial"/>
          <w:i/>
          <w:iCs/>
          <w:color w:val="000000" w:themeColor="text1"/>
          <w:sz w:val="22"/>
          <w:szCs w:val="22"/>
          <w:lang w:val="ro-RO"/>
        </w:rPr>
        <w:t>refuncționalizare</w:t>
      </w:r>
      <w:proofErr w:type="spellEnd"/>
      <w:r w:rsidRPr="00060AAF">
        <w:rPr>
          <w:rFonts w:ascii="Arial" w:hAnsi="Arial" w:cs="Arial"/>
          <w:i/>
          <w:iCs/>
          <w:color w:val="000000" w:themeColor="text1"/>
          <w:sz w:val="22"/>
          <w:szCs w:val="22"/>
          <w:lang w:val="ro-RO"/>
        </w:rPr>
        <w:t xml:space="preserve"> a Sinagogii din Fabric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 – din mai multe unghiuri și prin mai multe filtre. S-au desprins astfel numeroase idei și concluzii utile pentru demers, care se pot grupa în mai multe categorii, astfel:</w:t>
      </w:r>
    </w:p>
    <w:p w14:paraId="55EC2C51" w14:textId="7777777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5000B910" w14:textId="77777777" w:rsidR="00060AAF" w:rsidRPr="00060AAF" w:rsidRDefault="00060AAF" w:rsidP="00060AAF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t>Procesul de programare</w:t>
      </w:r>
    </w:p>
    <w:p w14:paraId="46C87A92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Plasarea demersului în continuarea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CEaC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 TM 2023 trebuie asigurată prin găsirea celor mai bune modalități de a integra principiile și rezultatele obținute în noul proces de programare (arhitecturală, culturală, socială) și a le traduce în prevederile temei de proiectare.</w:t>
      </w:r>
    </w:p>
    <w:p w14:paraId="14131220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Concluziile valide și utile ale demersurilor anterioare – studiile de fundamentare pentru intervenția de punere în siguranță, scenariul de reutilizare ca spațiu pentru spectacole – trebuie identificate, selectate și utilizate în procesul de programare, precum și în tema de proiectare.</w:t>
      </w:r>
    </w:p>
    <w:p w14:paraId="3AAB1C5C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pacing w:val="2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pacing w:val="2"/>
          <w:sz w:val="22"/>
          <w:szCs w:val="22"/>
          <w:lang w:val="ro-RO"/>
        </w:rPr>
        <w:t>Necesitatea de a alcătui o echipă multidisciplinară care să genereze și să gestioneze procedura participativă de programare, de alcătuire a temei și de derulare a proiectului.</w:t>
      </w:r>
    </w:p>
    <w:p w14:paraId="516BBAE1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pacing w:val="2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pacing w:val="2"/>
          <w:sz w:val="22"/>
          <w:szCs w:val="22"/>
          <w:lang w:val="ro-RO"/>
        </w:rPr>
        <w:t xml:space="preserve">Inițiativa PMT nu are precedente notabile – în România sau în practica internațională a recuperării patrimoniului evreiesc – ceea ce o face cu atât mai importantă, dar și dificilă. Alte demersuri de recuperare a patrimoniului evreiesc s-au concentrat pe diferitele atuuri și necesități ale fiecărui caz, dar nu au pornit de la o logică inclusivă și </w:t>
      </w:r>
      <w:r w:rsidRPr="00060AAF">
        <w:rPr>
          <w:rFonts w:ascii="Arial" w:hAnsi="Arial" w:cs="Arial"/>
          <w:color w:val="000000" w:themeColor="text1"/>
          <w:spacing w:val="2"/>
          <w:sz w:val="22"/>
          <w:szCs w:val="22"/>
        </w:rPr>
        <w:t>bottom-up (people-centred, expert-facilitated</w:t>
      </w:r>
      <w:r w:rsidRPr="00060AAF">
        <w:rPr>
          <w:rFonts w:ascii="Arial" w:hAnsi="Arial" w:cs="Arial"/>
          <w:color w:val="000000" w:themeColor="text1"/>
          <w:spacing w:val="2"/>
          <w:sz w:val="22"/>
          <w:szCs w:val="22"/>
          <w:lang w:val="ro-RO"/>
        </w:rPr>
        <w:t>), în care consultarea comunității / comunităților este asumată ca element cheie al procesului de programare și derulare a proiectului.</w:t>
      </w:r>
    </w:p>
    <w:p w14:paraId="2CED3231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În acest context, al lipsei unei experiențe direct transferabilă, a fost afirmată necesitatea orientării spre rezultate aplicabile, într-un scenariu realist.</w:t>
      </w:r>
    </w:p>
    <w:p w14:paraId="22AB3D39" w14:textId="77777777" w:rsidR="00060AAF" w:rsidRPr="00060AAF" w:rsidRDefault="00060AAF" w:rsidP="00060AAF">
      <w:pPr>
        <w:pStyle w:val="ListParagraph"/>
        <w:ind w:left="1080"/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1E5868C2" w14:textId="77777777" w:rsidR="00060AAF" w:rsidRPr="00060AAF" w:rsidRDefault="00060AAF" w:rsidP="00060AAF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t>Abordarea clădirii</w:t>
      </w:r>
    </w:p>
    <w:p w14:paraId="40B7A508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A fost evidențiată importanța bunei cunoașteri a clădirii pentru o identificare cât mai extinsă și relevantă a valorilor – ex. valoarea tehnică și culturală a sistemului structural al clădirii, inovator, deschizător de drumuri și perfect adaptat la necesitățile amplasamentului.</w:t>
      </w:r>
    </w:p>
    <w:p w14:paraId="6042F37A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Ca un corolar, s-a amintit necesitatea ca pentru o astfel de clădire valoroasă să fie identificate funcțiunile adecvate, aplicabile fără modificări radicale (și nu invers – adaptarea forțată a clădirii istorice la o funcțiune nouă arbitrară).</w:t>
      </w:r>
    </w:p>
    <w:p w14:paraId="03838BC8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S-a evidențiat importanța găsirii căilor optime de conformare la reglementările tehnice în vigoare – regulamente, norme etc.</w:t>
      </w:r>
    </w:p>
    <w:p w14:paraId="68961FD1" w14:textId="77777777" w:rsidR="00060AAF" w:rsidRPr="00060AAF" w:rsidRDefault="00060AAF" w:rsidP="00060AAF">
      <w:pPr>
        <w:pStyle w:val="ListParagraph"/>
        <w:numPr>
          <w:ilvl w:val="0"/>
          <w:numId w:val="4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Nu în ultimul rând, a rezultat din prezentări și discuții importanța accesibilizării clădirii istorice și a interpretării și prezentării sale adecvate.</w:t>
      </w:r>
    </w:p>
    <w:p w14:paraId="1E6A0F15" w14:textId="77777777" w:rsidR="00060AAF" w:rsidRPr="00060AAF" w:rsidRDefault="00060AAF" w:rsidP="00060AAF">
      <w:pPr>
        <w:pStyle w:val="ListParagraph"/>
        <w:ind w:left="1080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br w:type="page"/>
      </w:r>
    </w:p>
    <w:p w14:paraId="65D154A5" w14:textId="77777777" w:rsidR="00060AAF" w:rsidRPr="00060AAF" w:rsidRDefault="00060AAF" w:rsidP="00060AAF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lastRenderedPageBreak/>
        <w:t>Legătura cu vecinătățile și orașul</w:t>
      </w:r>
    </w:p>
    <w:p w14:paraId="2AA92ABD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Spațiul public – înțeles ca bun comun – trebuie să fie inclus în procesul de programare, pentru ca relația sa cu sinagoga să fie bine definită.</w:t>
      </w:r>
    </w:p>
    <w:p w14:paraId="36D9649C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Trebuie avute în vedere și conexiunile (existente, planificate, latente) cu alte cartiere și puncte de interes din oraș – nu doar pe axul est-vest (Piața Libertății – Piața Traian), ci și pe axul nord-sud, pe direcția fostului canal care delimita spre vest parcela sinagogii (cu puncte de reper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Multiplexity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 sau viitorul spațiu al Teatrului German).</w:t>
      </w:r>
    </w:p>
    <w:p w14:paraId="4CF5873E" w14:textId="77777777" w:rsidR="00060AAF" w:rsidRPr="00060AAF" w:rsidRDefault="00060AAF" w:rsidP="00060AAF">
      <w:pPr>
        <w:pStyle w:val="ListParagraph"/>
        <w:ind w:left="1080"/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025235CF" w14:textId="77777777" w:rsidR="00060AAF" w:rsidRPr="00060AAF" w:rsidRDefault="00060AAF" w:rsidP="00060AAF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t>Implicarea comunității / comunităților</w:t>
      </w:r>
    </w:p>
    <w:p w14:paraId="26E70956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Este necesară implicarea tuturor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stakeholderilor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 relevanți – ceea ce presupune o etapă de identificare și cartare a lor și de definire a intereselor (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stakes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).</w:t>
      </w:r>
    </w:p>
    <w:p w14:paraId="085DF87F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Comunitatea este granulară, nu este unitară, ceea ce face necesar un efort susținut și diferențiat, particularizat de captare a atenției și de asigurare a participării.</w:t>
      </w:r>
    </w:p>
    <w:p w14:paraId="1812D8DC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Comunitatea trebuie înțeleasă (și) în sensul definiției cuprinse în Convenția de la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Faro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, respectiv comunitate patrimonială / comunități patrimoniale.</w:t>
      </w:r>
    </w:p>
    <w:p w14:paraId="261636A8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Pentru o cooptare și implicare a comunității care să fie constantă și de durată este necesar ca restaurare și reutilizarea (=activarea) să nu fie consecutive – să fie gândit un scenariu de utilizare și în timpul procesului de restaurare (în ideea de șantier deschis, dar poate și mai mult decât atât).</w:t>
      </w:r>
    </w:p>
    <w:p w14:paraId="3D3B907E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Șantierul deschis este un model care trebuie avut în vedere și adoptat pentru a putea genera un proces participativ de durată și pentru a exploata la adevăratul potențial valoarea educațională a șantierului de restaurare.</w:t>
      </w:r>
    </w:p>
    <w:p w14:paraId="3122F3DD" w14:textId="77777777" w:rsidR="00060AAF" w:rsidRPr="00060AAF" w:rsidRDefault="00060AAF" w:rsidP="00060AAF">
      <w:pPr>
        <w:pStyle w:val="ListParagraph"/>
        <w:ind w:left="1080"/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24F220B5" w14:textId="77777777" w:rsidR="00060AAF" w:rsidRPr="00060AAF" w:rsidRDefault="00060AAF" w:rsidP="00060AAF">
      <w:pPr>
        <w:pStyle w:val="ListParagraph"/>
        <w:numPr>
          <w:ilvl w:val="0"/>
          <w:numId w:val="2"/>
        </w:numPr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t>Rezultate preconizate ale procesului de programare participativă</w:t>
      </w:r>
    </w:p>
    <w:p w14:paraId="77DD74CD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Exploatarea maximală a dimensiunii didactice a demersului: la finalul proiectului să rezulte materiale educative accesibile privind modul în care se intervine pe o clădire istorică; în acest scop nu trebuie pregătită doar tema de proiectare și caietul de sarcini pentru achiziția publică, ci și o temă de documentare a procesului și de realizare a materialelor de îndrumare.</w:t>
      </w:r>
    </w:p>
    <w:p w14:paraId="05D6CD65" w14:textId="77777777" w:rsidR="00060AAF" w:rsidRPr="00060AAF" w:rsidRDefault="00060AAF" w:rsidP="00060AAF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Contextul istoric, cultural, social și fizic al Sinagogii trebuie transpuse în cerințe și criterii de calitate pentru viitoarea intervenție de restaurare și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refuncționalizare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.</w:t>
      </w:r>
    </w:p>
    <w:p w14:paraId="1C9244FB" w14:textId="77777777" w:rsidR="00060AAF" w:rsidRPr="00060AAF" w:rsidRDefault="00060AAF" w:rsidP="00060AAF">
      <w:pPr>
        <w:pStyle w:val="ListParagraph"/>
        <w:ind w:left="1077"/>
        <w:contextualSpacing w:val="0"/>
        <w:rPr>
          <w:rFonts w:ascii="Arial" w:hAnsi="Arial" w:cs="Arial"/>
          <w:color w:val="000000" w:themeColor="text1"/>
          <w:sz w:val="22"/>
          <w:szCs w:val="22"/>
          <w:lang w:val="ro-RO"/>
        </w:rPr>
      </w:pPr>
    </w:p>
    <w:p w14:paraId="326D07E2" w14:textId="7531663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b/>
          <w:bCs/>
          <w:color w:val="000000" w:themeColor="text1"/>
          <w:sz w:val="22"/>
          <w:szCs w:val="22"/>
          <w:lang w:val="ro-RO"/>
        </w:rPr>
        <w:t xml:space="preserve">Concluziile zilei 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– seminarul și dezbaterea au marcat primul pas dintr-un proces de programare participativă care reprezintă o premieră nu doar pentru orașul și 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P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rimăria Timișoara, ci și la nivel național sau mai larg, internațional, atunci când obiectul intervenției este patrimoniul evreiesc abandonat.</w:t>
      </w:r>
    </w:p>
    <w:p w14:paraId="1BD43382" w14:textId="7777777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Demersul trebuie să se înscrie în prevederile cadrului legal și de reglementare tehnică incident și, în mod particular, să respecte prevederile </w:t>
      </w:r>
      <w:r w:rsidRPr="00060AAF">
        <w:rPr>
          <w:rFonts w:ascii="Arial" w:hAnsi="Arial" w:cs="Arial"/>
          <w:i/>
          <w:iCs/>
          <w:color w:val="000000" w:themeColor="text1"/>
          <w:sz w:val="22"/>
          <w:szCs w:val="22"/>
          <w:lang w:val="ro-RO"/>
        </w:rPr>
        <w:t xml:space="preserve">Strategiei UE privind combaterea antisemitismului și susținerea vieții evreiești (2021-2030) 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și ale documentul similar național, </w:t>
      </w:r>
      <w:r w:rsidRPr="00060AAF">
        <w:rPr>
          <w:rFonts w:ascii="Arial" w:hAnsi="Arial" w:cs="Arial"/>
          <w:i/>
          <w:iCs/>
          <w:color w:val="000000" w:themeColor="text1"/>
          <w:sz w:val="22"/>
          <w:szCs w:val="22"/>
          <w:lang w:val="ro-RO"/>
        </w:rPr>
        <w:t>Strategia pentru prevenirea și combaterea antisemitismului, xenofobiei, radicalizării și a discursului instigator la ură 2024-2027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. De asemenea, demersul trebuie să fie permanent și deplin corelat cu tematica educației despre Holocaust și drepturile omului.</w:t>
      </w:r>
    </w:p>
    <w:p w14:paraId="36C8C3DD" w14:textId="77777777" w:rsidR="00060AAF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 xml:space="preserve">Autoritate tutelară – PMT – a adăugat la celelalte obiective ale demersului și obiectivul politic: dezvoltarea, ceea ce din perspectivă patrimonială înseamnă înscrierea Sinagogii în cadrul </w:t>
      </w: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lastRenderedPageBreak/>
        <w:t xml:space="preserve">conceptual oferit de Convenția de la </w:t>
      </w:r>
      <w:proofErr w:type="spellStart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Faro</w:t>
      </w:r>
      <w:proofErr w:type="spellEnd"/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, prin care patrimoniul cultural este definit ca resursă – inclusiv pentru dezvoltare economică, dar nu numai!</w:t>
      </w:r>
    </w:p>
    <w:p w14:paraId="4C07D4AF" w14:textId="606D0999" w:rsidR="00E37D78" w:rsidRPr="00060AAF" w:rsidRDefault="00060AAF" w:rsidP="00060AAF">
      <w:pPr>
        <w:rPr>
          <w:rFonts w:ascii="Arial" w:hAnsi="Arial" w:cs="Arial"/>
          <w:color w:val="000000" w:themeColor="text1"/>
          <w:sz w:val="22"/>
          <w:szCs w:val="22"/>
          <w:lang w:val="ro-RO"/>
        </w:rPr>
      </w:pPr>
      <w:r w:rsidRPr="00060AAF">
        <w:rPr>
          <w:rFonts w:ascii="Arial" w:hAnsi="Arial" w:cs="Arial"/>
          <w:color w:val="000000" w:themeColor="text1"/>
          <w:sz w:val="22"/>
          <w:szCs w:val="22"/>
          <w:lang w:val="ro-RO"/>
        </w:rPr>
        <w:t>În încheiere participanții și-au manifestat disponibilitatea de a se implica în continuare în dezbatere pentru a contribui la configurarea și derularea procesului de programare participativă.</w:t>
      </w:r>
    </w:p>
    <w:sectPr w:rsidR="00E37D78" w:rsidRPr="00060AAF">
      <w:headerReference w:type="default" r:id="rId8"/>
      <w:footerReference w:type="default" r:id="rId9"/>
      <w:pgSz w:w="11909" w:h="16834"/>
      <w:pgMar w:top="1440" w:right="718" w:bottom="144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4BB61" w14:textId="77777777" w:rsidR="00A340D7" w:rsidRDefault="00A340D7">
      <w:pPr>
        <w:spacing w:line="240" w:lineRule="auto"/>
      </w:pPr>
      <w:r>
        <w:separator/>
      </w:r>
    </w:p>
  </w:endnote>
  <w:endnote w:type="continuationSeparator" w:id="0">
    <w:p w14:paraId="19E8F438" w14:textId="77777777" w:rsidR="00A340D7" w:rsidRDefault="00A340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E7B5BD65-8AE6-AF4C-B5F5-1DC169B7CA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3EBF106-A3C5-E643-A2AD-042CE43764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A05B20-A698-824F-ACBC-36F7A1177A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762178D-B4D4-0140-8171-7B274D3DBC5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4B066D4-6491-3E4F-BF6D-5317E5E3EA1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A3DA339D-0CBB-7C44-8E0D-0D05F0570FB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2EF322DD-464D-3E48-981F-A59763DCBB67}"/>
    <w:embedBold r:id="rId8" w:fontKey="{35344B8E-9940-A748-82F2-92AEF01AAEB3}"/>
    <w:embedItalic r:id="rId9" w:fontKey="{F49401BA-5AAE-504D-AAE5-ED9517958E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28EA72DB-DFE6-DA4E-A6C4-AE83CE3230E2}"/>
    <w:embedBold r:id="rId11" w:fontKey="{8C7F74B6-226B-B44E-BDF4-AF5601DFA8C8}"/>
    <w:embedItalic r:id="rId12" w:fontKey="{2BAF80F8-9C88-D246-9418-9F80A79889D1}"/>
  </w:font>
  <w:font w:name="Inter">
    <w:panose1 w:val="020B0604020202020204"/>
    <w:charset w:val="00"/>
    <w:family w:val="auto"/>
    <w:pitch w:val="default"/>
    <w:embedRegular r:id="rId13" w:fontKey="{CD5FB52B-F116-ED49-B550-66CC47B69A4B}"/>
    <w:embedBold r:id="rId14" w:fontKey="{20C0BFB5-FC0A-8441-B428-01B9966A4385}"/>
  </w:font>
  <w:font w:name="Inter Medium">
    <w:charset w:val="00"/>
    <w:family w:val="auto"/>
    <w:pitch w:val="default"/>
    <w:embedRegular r:id="rId15" w:fontKey="{944AFEE5-0DC4-584D-8E0E-22F9E971791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6" w:fontKey="{9201E5F9-531E-324C-8782-F67CA221D7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EAC0ED" w14:textId="77777777" w:rsidR="00E37D78" w:rsidRDefault="00000000">
    <w:pPr>
      <w:rPr>
        <w:rFonts w:ascii="Inter Medium" w:eastAsia="Inter Medium" w:hAnsi="Inter Medium" w:cs="Inter Medium"/>
        <w:sz w:val="20"/>
        <w:szCs w:val="20"/>
      </w:rPr>
    </w:pPr>
    <w:r>
      <w:rPr>
        <w:sz w:val="16"/>
        <w:szCs w:val="16"/>
      </w:rPr>
      <w:t xml:space="preserve">Pagina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A0784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din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NUMPAGES</w:instrText>
    </w:r>
    <w:r>
      <w:rPr>
        <w:sz w:val="16"/>
        <w:szCs w:val="16"/>
      </w:rPr>
      <w:fldChar w:fldCharType="separate"/>
    </w:r>
    <w:r w:rsidR="00A0784C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</w:t>
    </w:r>
  </w:p>
  <w:p w14:paraId="1DF8371D" w14:textId="77777777" w:rsidR="00E37D78" w:rsidRDefault="00E37D78">
    <w:pPr>
      <w:rPr>
        <w:rFonts w:ascii="Inter Medium" w:eastAsia="Inter Medium" w:hAnsi="Inter Medium" w:cs="Inter Medium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377FB7" w14:textId="77777777" w:rsidR="00A340D7" w:rsidRDefault="00A340D7">
      <w:pPr>
        <w:spacing w:line="240" w:lineRule="auto"/>
      </w:pPr>
      <w:r>
        <w:separator/>
      </w:r>
    </w:p>
  </w:footnote>
  <w:footnote w:type="continuationSeparator" w:id="0">
    <w:p w14:paraId="62BF541E" w14:textId="77777777" w:rsidR="00A340D7" w:rsidRDefault="00A340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144D94" w14:textId="77777777" w:rsidR="00E37D78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b/>
        <w:color w:val="000000"/>
        <w:sz w:val="16"/>
        <w:szCs w:val="16"/>
      </w:rPr>
      <w:t>Centrul de Proiecte Timișoara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D1AA841" wp14:editId="12B5B46F">
          <wp:simplePos x="0" y="0"/>
          <wp:positionH relativeFrom="column">
            <wp:posOffset>4895850</wp:posOffset>
          </wp:positionH>
          <wp:positionV relativeFrom="paragraph">
            <wp:posOffset>-57143</wp:posOffset>
          </wp:positionV>
          <wp:extent cx="579938" cy="57993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9938" cy="579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F109D3" w14:textId="77777777" w:rsidR="00E37D78" w:rsidRDefault="00000000">
    <w:pPr>
      <w:rPr>
        <w:rFonts w:ascii="Inter" w:eastAsia="Inter" w:hAnsi="Inter" w:cs="Inter"/>
        <w:color w:val="000000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 xml:space="preserve">Str. Vasile Alecsandri, nr. 1, SAD 7 | </w:t>
    </w:r>
    <w:r>
      <w:rPr>
        <w:color w:val="000000"/>
        <w:sz w:val="16"/>
        <w:szCs w:val="16"/>
      </w:rPr>
      <w:t>CIF 44202834</w:t>
    </w:r>
  </w:p>
  <w:p w14:paraId="20129C13" w14:textId="77777777" w:rsidR="00E37D78" w:rsidRDefault="00E37D78">
    <w:pPr>
      <w:rPr>
        <w:rFonts w:ascii="Inter" w:eastAsia="Inter" w:hAnsi="Inter" w:cs="Inter"/>
        <w:color w:val="000000"/>
        <w:sz w:val="16"/>
        <w:szCs w:val="16"/>
      </w:rPr>
    </w:pPr>
  </w:p>
  <w:p w14:paraId="04FA5621" w14:textId="77777777" w:rsidR="00E37D78" w:rsidRDefault="00E37D78">
    <w:pPr>
      <w:rPr>
        <w:rFonts w:ascii="Inter" w:eastAsia="Inter" w:hAnsi="Inter" w:cs="Inter"/>
        <w:color w:val="000000"/>
        <w:sz w:val="16"/>
        <w:szCs w:val="16"/>
      </w:rPr>
    </w:pPr>
    <w:hyperlink r:id="rId2">
      <w:r>
        <w:rPr>
          <w:rFonts w:ascii="Inter" w:eastAsia="Inter" w:hAnsi="Inter" w:cs="Inter"/>
          <w:color w:val="000000"/>
          <w:sz w:val="16"/>
          <w:szCs w:val="16"/>
        </w:rPr>
        <w:t>centruldeproiecte.ro</w:t>
      </w:r>
    </w:hyperlink>
  </w:p>
  <w:p w14:paraId="12C6DF92" w14:textId="77777777" w:rsidR="00E37D78" w:rsidRDefault="00E37D78">
    <w:pPr>
      <w:rPr>
        <w:rFonts w:ascii="Inter" w:eastAsia="Inter" w:hAnsi="Inter" w:cs="Inter"/>
        <w:color w:val="000000"/>
        <w:sz w:val="16"/>
        <w:szCs w:val="16"/>
      </w:rPr>
    </w:pPr>
    <w:hyperlink r:id="rId3">
      <w:r>
        <w:rPr>
          <w:rFonts w:ascii="Inter" w:eastAsia="Inter" w:hAnsi="Inter" w:cs="Inter"/>
          <w:color w:val="000000"/>
          <w:sz w:val="16"/>
          <w:szCs w:val="16"/>
        </w:rPr>
        <w:t>contact@centruldeproiecte.ro</w:t>
      </w:r>
    </w:hyperlink>
  </w:p>
  <w:p w14:paraId="727BA4A0" w14:textId="77777777" w:rsidR="00E37D78" w:rsidRDefault="00000000">
    <w:pPr>
      <w:rPr>
        <w:rFonts w:ascii="Inter" w:eastAsia="Inter" w:hAnsi="Inter" w:cs="Inter"/>
        <w:sz w:val="16"/>
        <w:szCs w:val="16"/>
      </w:rPr>
    </w:pPr>
    <w:r>
      <w:rPr>
        <w:rFonts w:ascii="Inter" w:eastAsia="Inter" w:hAnsi="Inter" w:cs="Inter"/>
        <w:color w:val="000000"/>
        <w:sz w:val="16"/>
        <w:szCs w:val="16"/>
      </w:rPr>
      <w:t>+40787.287.100</w:t>
    </w:r>
  </w:p>
  <w:p w14:paraId="0C677DFF" w14:textId="77777777" w:rsidR="00E37D78" w:rsidRDefault="00E37D78">
    <w:pPr>
      <w:rPr>
        <w:rFonts w:ascii="Inter" w:eastAsia="Inter" w:hAnsi="Inter" w:cs="Inter"/>
        <w:sz w:val="16"/>
        <w:szCs w:val="16"/>
      </w:rPr>
    </w:pPr>
  </w:p>
  <w:p w14:paraId="79595A74" w14:textId="77777777" w:rsidR="00E37D78" w:rsidRDefault="00E37D7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40EBC"/>
    <w:multiLevelType w:val="hybridMultilevel"/>
    <w:tmpl w:val="69CAF54E"/>
    <w:lvl w:ilvl="0" w:tplc="D6FE6F96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5E2A54"/>
    <w:multiLevelType w:val="hybridMultilevel"/>
    <w:tmpl w:val="7750C0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A6ED1"/>
    <w:multiLevelType w:val="hybridMultilevel"/>
    <w:tmpl w:val="982C410A"/>
    <w:lvl w:ilvl="0" w:tplc="CADE5FDA">
      <w:start w:val="1"/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21382D"/>
    <w:multiLevelType w:val="multilevel"/>
    <w:tmpl w:val="870662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21984868">
    <w:abstractNumId w:val="3"/>
  </w:num>
  <w:num w:numId="2" w16cid:durableId="159539164">
    <w:abstractNumId w:val="1"/>
  </w:num>
  <w:num w:numId="3" w16cid:durableId="874468523">
    <w:abstractNumId w:val="0"/>
  </w:num>
  <w:num w:numId="4" w16cid:durableId="922377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D78"/>
    <w:rsid w:val="00034779"/>
    <w:rsid w:val="00060AAF"/>
    <w:rsid w:val="0025558D"/>
    <w:rsid w:val="005460CB"/>
    <w:rsid w:val="00862C3C"/>
    <w:rsid w:val="00966B95"/>
    <w:rsid w:val="00A0784C"/>
    <w:rsid w:val="00A340D7"/>
    <w:rsid w:val="00E3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5B73456"/>
  <w15:docId w15:val="{C89967C7-4563-F44B-86BD-03E03BEDA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="Roboto" w:hAnsi="Roboto" w:cs="Roboto"/>
        <w:color w:val="3C4043"/>
        <w:sz w:val="21"/>
        <w:szCs w:val="21"/>
        <w:highlight w:val="white"/>
        <w:lang w:val="en-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8465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highlight w:val="none"/>
    </w:rPr>
  </w:style>
  <w:style w:type="paragraph" w:styleId="ListParagraph">
    <w:name w:val="List Paragraph"/>
    <w:basedOn w:val="Normal"/>
    <w:uiPriority w:val="34"/>
    <w:qFormat/>
    <w:rsid w:val="000735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0A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AAF"/>
  </w:style>
  <w:style w:type="paragraph" w:styleId="Footer">
    <w:name w:val="footer"/>
    <w:basedOn w:val="Normal"/>
    <w:link w:val="FooterChar"/>
    <w:uiPriority w:val="99"/>
    <w:unhideWhenUsed/>
    <w:rsid w:val="00060A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centruldeproiecte.ro" TargetMode="External"/><Relationship Id="rId2" Type="http://schemas.openxmlformats.org/officeDocument/2006/relationships/hyperlink" Target="https://centruldeproiecte.ro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RZfo/XijufMSaopIgfe9VbFK+g==">CgMxLjA4AGoqChRzdWdnZXN0LjY5ZmJtOTYzbmIwZRISUMSDdHJ1bGVzY3UgUm94YW5haioKFHN1Z2dlc3QuM2RybmUwdGU3ZHF1EhJQxIN0cnVsZXNjdSBSb3hhbmFqKgoUc3VnZ2VzdC4yZzJiMWZ3cDJ1em4SElDEg3RydWxlc2N1IFJveGFuYXIhMVRoaHIxVjktVjhpcFcyOVh3aWF0OGRjb2lmcnBoZmJw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943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Mihai Zugravu</cp:lastModifiedBy>
  <cp:revision>2</cp:revision>
  <dcterms:created xsi:type="dcterms:W3CDTF">2024-11-07T13:22:00Z</dcterms:created>
  <dcterms:modified xsi:type="dcterms:W3CDTF">2024-11-07T13:22:00Z</dcterms:modified>
</cp:coreProperties>
</file>