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contractul de finanțare nerambursabilă IES-CFN nr. …….. / ……………………………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right="142"/>
        <w:rPr>
          <w:rFonts w:ascii="Arial" w:cs="Arial" w:eastAsia="Arial" w:hAnsi="Arial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shd w:fill="auto" w:val="clear"/>
          <w:rtl w:val="0"/>
        </w:rPr>
        <w:t xml:space="preserve">| Anexa 7 la Ghidul solicitantului</w:t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Programul de finanțare nerambursabilă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shd w:fill="auto" w:val="clear"/>
          <w:rtl w:val="0"/>
        </w:rPr>
        <w:t xml:space="preserve">Impuls în comunitate 2024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, derulat de Centrul de Proiecte al Municipiului Timișoara în anul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Titlul proiectuluil: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Denumirea beneficiarului: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B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3">
      <w:pPr>
        <w:spacing w:after="100" w:before="100" w:line="276" w:lineRule="auto"/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tbl>
      <w:tblPr>
        <w:tblStyle w:val="Table1"/>
        <w:tblW w:w="74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0"/>
        <w:tblGridChange w:id="0">
          <w:tblGrid>
            <w:gridCol w:w="7470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</w:p>
        </w:tc>
      </w:tr>
    </w:tbl>
    <w:p w:rsidR="00000000" w:rsidDel="00000000" w:rsidP="00000000" w:rsidRDefault="00000000" w:rsidRPr="00000000" w14:paraId="00000028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before="100"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-9512</wp:posOffset>
          </wp:positionV>
          <wp:extent cx="579938" cy="579938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qDrIHJS0BTpxQFonrZtSPS4Pg==">CgMxLjA4AHIhMVhQTFN2c3lITGlNUEJQVGxlQnVJaVRhN0FIZE1NWjF5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