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contractul subsecvent de finanțare IES-CFN nr. …….. / ……………………………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shd w:fill="auto" w:val="clear"/>
          <w:rtl w:val="0"/>
        </w:rPr>
        <w:t xml:space="preserve">| Anexa 7.1 la Ghidul solicitantului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Programul prioritar de finanțare nerambursabilă cu caracter multianual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shd w:fill="auto" w:val="clear"/>
          <w:rtl w:val="0"/>
        </w:rPr>
        <w:t xml:space="preserve">Repere în cultură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derulat în perioada 2024-2027 de Centrul de Proiecte al Municipiului Timișoara, din sume de la bugetul local al Municipiului Timișoara</w:t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Titlul proiectului cultural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___________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Denumirea beneficiarului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Cerere de finanțare: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INT-FIN nr.  ___ / ___.___.2024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Acord-cadru de finanțare multianuală: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IES-CFN nr. ___ / ___.___.2024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Valoarea totală a finanțării nerambursabile solicitate pentru întreaga perioadă de desfășurare a proiectului: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 lei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Valoarea finanțării nerambursabile solicitate pentru perioada aferentă contractului subsecvent de finanțare, la care prezentul grafic de finanțare se constituie anexă: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 lei</w:t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F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00" w:before="100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00" w:before="100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00" w:before="100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" w:before="100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" w:before="100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</w:p>
    <w:p w:rsidR="00000000" w:rsidDel="00000000" w:rsidP="00000000" w:rsidRDefault="00000000" w:rsidRPr="00000000" w14:paraId="00000015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7">
      <w:pPr>
        <w:spacing w:after="100" w:before="100" w:lineRule="auto"/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00" w:before="100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00" w:before="100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00" w:before="100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00" w:before="100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00" w:before="100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</w:p>
    <w:p w:rsidR="00000000" w:rsidDel="00000000" w:rsidP="00000000" w:rsidRDefault="00000000" w:rsidRPr="00000000" w14:paraId="0000001D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tbl>
      <w:tblPr>
        <w:tblStyle w:val="Table1"/>
        <w:tblW w:w="74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0"/>
        <w:tblGridChange w:id="0">
          <w:tblGrid>
            <w:gridCol w:w="7470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 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 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 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</w:p>
        </w:tc>
      </w:tr>
    </w:tbl>
    <w:p w:rsidR="00000000" w:rsidDel="00000000" w:rsidP="00000000" w:rsidRDefault="00000000" w:rsidRPr="00000000" w14:paraId="0000002C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100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41.7641091375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tblGridChange w:id="0">
          <w:tblGrid>
            <w:gridCol w:w="3020.88205456876"/>
            <w:gridCol w:w="3020.88205456876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00" w:before="100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00" w:before="100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-9514</wp:posOffset>
          </wp:positionV>
          <wp:extent cx="579938" cy="57993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7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B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JCvEg+YY0YPICV5p/a6Go0Z5/g==">CgMxLjA4AHIhMXRFUWg0STZ4SDFfaG5uMDdKVmxZNUVWQnBGbmRpNzNZ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