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Grilă de verificare a eligibilității aplicantului | Anexa 2</w:t>
      </w:r>
    </w:p>
    <w:p w:rsidR="00000000" w:rsidDel="00000000" w:rsidP="00000000" w:rsidRDefault="00000000" w:rsidRPr="00000000" w14:paraId="00000002">
      <w:pPr>
        <w:pageBreakBefore w:val="0"/>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3">
      <w:pPr>
        <w:pageBreakBefore w:val="0"/>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pageBreakBefore w:val="0"/>
        <w:spacing w:after="100" w:before="100" w:line="276" w:lineRule="auto"/>
        <w:ind w:right="-4.370078740156487"/>
        <w:rPr>
          <w:rFonts w:ascii="Inter" w:cs="Inter" w:eastAsia="Inter" w:hAnsi="Inter"/>
          <w:i w:val="1"/>
          <w:sz w:val="20"/>
          <w:szCs w:val="20"/>
        </w:rPr>
      </w:pPr>
      <w:r w:rsidDel="00000000" w:rsidR="00000000" w:rsidRPr="00000000">
        <w:rPr>
          <w:rFonts w:ascii="Inter" w:cs="Inter" w:eastAsia="Inter" w:hAnsi="Inter"/>
          <w:sz w:val="20"/>
          <w:szCs w:val="20"/>
          <w:rtl w:val="0"/>
        </w:rPr>
        <w:t xml:space="preserve">Înaintea evaluării se verifică dacă aplicațiile primite sunt complete și dacă îndeplinesc criteriile de eligibilitate și conformitate menționate în</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i w:val="1"/>
          <w:sz w:val="20"/>
          <w:szCs w:val="20"/>
          <w:rtl w:val="0"/>
        </w:rPr>
        <w:t xml:space="preserve">Regulamentul</w:t>
      </w:r>
      <w:r w:rsidDel="00000000" w:rsidR="00000000" w:rsidRPr="00000000">
        <w:rPr>
          <w:rFonts w:ascii="Inter" w:cs="Inter" w:eastAsia="Inter" w:hAnsi="Inter"/>
          <w:b w:val="1"/>
          <w:i w:val="1"/>
          <w:sz w:val="20"/>
          <w:szCs w:val="20"/>
          <w:rtl w:val="0"/>
        </w:rPr>
        <w:t xml:space="preserve"> </w:t>
      </w:r>
      <w:r w:rsidDel="00000000" w:rsidR="00000000" w:rsidRPr="00000000">
        <w:rPr>
          <w:rFonts w:ascii="Inter" w:cs="Inter" w:eastAsia="Inter" w:hAnsi="Inter"/>
          <w:i w:val="1"/>
          <w:sz w:val="20"/>
          <w:szCs w:val="20"/>
          <w:rtl w:val="0"/>
        </w:rPr>
        <w:t xml:space="preserve">privind acordarea de burse de creație de la bugetul local prin Centrul de Proiecte al Municipiului Timișoara</w:t>
      </w:r>
    </w:p>
    <w:p w:rsidR="00000000" w:rsidDel="00000000" w:rsidP="00000000" w:rsidRDefault="00000000" w:rsidRPr="00000000" w14:paraId="00000005">
      <w:pPr>
        <w:pageBreakBefore w:val="0"/>
        <w:spacing w:after="100" w:before="100" w:line="276" w:lineRule="auto"/>
        <w:ind w:right="-4.370078740156487"/>
        <w:rPr>
          <w:rFonts w:ascii="Inter" w:cs="Inter" w:eastAsia="Inter" w:hAnsi="Inter"/>
          <w:b w:val="1"/>
          <w:sz w:val="10"/>
          <w:szCs w:val="10"/>
        </w:rPr>
      </w:pPr>
      <w:r w:rsidDel="00000000" w:rsidR="00000000" w:rsidRPr="00000000">
        <w:rPr>
          <w:rFonts w:ascii="Inter" w:cs="Inter" w:eastAsia="Inter" w:hAnsi="Inter"/>
          <w:sz w:val="20"/>
          <w:szCs w:val="20"/>
          <w:rtl w:val="0"/>
        </w:rPr>
        <w:t xml:space="preserve">Verificarea respectării criteriilor de eligibilitate și conformitatea administrativă se realizează de către secretariatul tehnic al autorității finanțatoare. Pentru a fi declarată eligibilă și conformă, aplicația trebuie să conțină toată documentația solicitată prin Regulament. </w:t>
      </w: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Inter" w:cs="Inter" w:eastAsia="Inter" w:hAnsi="Inter"/>
          <w:sz w:val="20"/>
          <w:szCs w:val="20"/>
        </w:rPr>
      </w:pPr>
      <w:r w:rsidDel="00000000" w:rsidR="00000000" w:rsidRPr="00000000">
        <w:rPr>
          <w:rFonts w:ascii="Inter" w:cs="Inter" w:eastAsia="Inter" w:hAnsi="Inter"/>
          <w:sz w:val="20"/>
          <w:szCs w:val="20"/>
          <w:rtl w:val="0"/>
        </w:rPr>
        <w:t xml:space="preserve">Pentru a putea participa la evaluare și selecție, respectiv pentru a fi declarat eligibil în acord cu prevederile </w:t>
      </w:r>
      <w:r w:rsidDel="00000000" w:rsidR="00000000" w:rsidRPr="00000000">
        <w:rPr>
          <w:rFonts w:ascii="Inter" w:cs="Inter" w:eastAsia="Inter" w:hAnsi="Inter"/>
          <w:i w:val="1"/>
          <w:sz w:val="20"/>
          <w:szCs w:val="20"/>
          <w:rtl w:val="0"/>
        </w:rPr>
        <w:t xml:space="preserve">Regulamentului</w:t>
      </w:r>
      <w:r w:rsidDel="00000000" w:rsidR="00000000" w:rsidRPr="00000000">
        <w:rPr>
          <w:rFonts w:ascii="Inter" w:cs="Inter" w:eastAsia="Inter" w:hAnsi="Inter"/>
          <w:sz w:val="20"/>
          <w:szCs w:val="20"/>
          <w:rtl w:val="0"/>
        </w:rPr>
        <w:t xml:space="preserve">, aplicantul trebuie să îndeplinească cumulativ următoarele condiții:</w:t>
      </w:r>
    </w:p>
    <w:p w:rsidR="00000000" w:rsidDel="00000000" w:rsidP="00000000" w:rsidRDefault="00000000" w:rsidRPr="00000000" w14:paraId="00000007">
      <w:pPr>
        <w:numPr>
          <w:ilvl w:val="0"/>
          <w:numId w:val="2"/>
        </w:numPr>
        <w:spacing w:after="60" w:before="6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activeze în oricare dintre domeniile artistice: arte vizuale, literatură, muzică și arte sonore, teatru, dans, performance, arte digitale și new media;</w:t>
      </w:r>
    </w:p>
    <w:p w:rsidR="00000000" w:rsidDel="00000000" w:rsidP="00000000" w:rsidRDefault="00000000" w:rsidRPr="00000000" w14:paraId="00000008">
      <w:pPr>
        <w:numPr>
          <w:ilvl w:val="0"/>
          <w:numId w:val="2"/>
        </w:numPr>
        <w:spacing w:after="60" w:before="6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fi absolvit o formă de învățământ superior cu profil artistic în domeniul său de activitate sau să demonstreze activitate profesională de cel puțin 5 ani în total (prin expoziții, manifestări, activități artistice, proiecte personale sau alte tipuri de participări în programe relevante);</w:t>
      </w:r>
    </w:p>
    <w:p w:rsidR="00000000" w:rsidDel="00000000" w:rsidP="00000000" w:rsidRDefault="00000000" w:rsidRPr="00000000" w14:paraId="00000009">
      <w:pPr>
        <w:numPr>
          <w:ilvl w:val="0"/>
          <w:numId w:val="2"/>
        </w:numPr>
        <w:spacing w:after="60" w:before="6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aibă un portofoliu consistent și să demonstreze calitate în practica artistică proprie;</w:t>
      </w:r>
    </w:p>
    <w:p w:rsidR="00000000" w:rsidDel="00000000" w:rsidP="00000000" w:rsidRDefault="00000000" w:rsidRPr="00000000" w14:paraId="0000000A">
      <w:pPr>
        <w:numPr>
          <w:ilvl w:val="0"/>
          <w:numId w:val="2"/>
        </w:numPr>
        <w:spacing w:after="60" w:before="60" w:line="276" w:lineRule="auto"/>
        <w:ind w:left="720"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Să propună și să organizeze, singur sau în colaborare cu altă entitate, în perioada bursei, cel puțin un eveniment deschis publicului</w:t>
      </w:r>
      <w:r w:rsidDel="00000000" w:rsidR="00000000" w:rsidRPr="00000000">
        <w:rPr>
          <w:rFonts w:ascii="Inter" w:cs="Inter" w:eastAsia="Inter" w:hAnsi="Inter"/>
          <w:sz w:val="24"/>
          <w:szCs w:val="24"/>
          <w:rtl w:val="0"/>
        </w:rPr>
        <w:t xml:space="preserve"> </w:t>
      </w:r>
      <w:r w:rsidDel="00000000" w:rsidR="00000000" w:rsidRPr="00000000">
        <w:rPr>
          <w:rFonts w:ascii="Inter" w:cs="Inter" w:eastAsia="Inter" w:hAnsi="Inter"/>
          <w:sz w:val="20"/>
          <w:szCs w:val="20"/>
          <w:rtl w:val="0"/>
        </w:rPr>
        <w:t xml:space="preserve">care să se desfășoare în Timișoara până la data de 30 iunie în care să prezinte rezultatele bursei de creație (de exemplu: audiție muzicală, atelier deschis, lansare de carte, dezbatere, lectură publică, performance, expoziție, artist talk ș.a.)</w:t>
      </w:r>
    </w:p>
    <w:p w:rsidR="00000000" w:rsidDel="00000000" w:rsidP="00000000" w:rsidRDefault="00000000" w:rsidRPr="00000000" w14:paraId="0000000B">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C">
      <w:pPr>
        <w:pageBreakBefore w:val="0"/>
        <w:spacing w:after="100" w:before="100" w:line="276" w:lineRule="auto"/>
        <w:ind w:left="0" w:right="-4.370078740156487" w:firstLine="0"/>
        <w:rPr>
          <w:rFonts w:ascii="Inter" w:cs="Inter" w:eastAsia="Inter" w:hAnsi="Inter"/>
          <w:sz w:val="20"/>
          <w:szCs w:val="20"/>
        </w:rPr>
      </w:pPr>
      <w:r w:rsidDel="00000000" w:rsidR="00000000" w:rsidRPr="00000000">
        <w:rPr>
          <w:rtl w:val="0"/>
        </w:rPr>
      </w:r>
    </w:p>
    <w:tbl>
      <w:tblPr>
        <w:tblStyle w:val="Table1"/>
        <w:tblW w:w="12501.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3"/>
        <w:gridCol w:w="690"/>
        <w:gridCol w:w="690"/>
        <w:gridCol w:w="4788.000000000001"/>
        <w:tblGridChange w:id="0">
          <w:tblGrid>
            <w:gridCol w:w="6333"/>
            <w:gridCol w:w="690"/>
            <w:gridCol w:w="690"/>
            <w:gridCol w:w="4788.000000000001"/>
          </w:tblGrid>
        </w:tblGridChange>
      </w:tblGrid>
      <w:tr>
        <w:trPr>
          <w:cantSplit w:val="0"/>
          <w:trHeight w:val="446.04492187499994"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D">
            <w:pPr>
              <w:pageBreakBefore w:val="0"/>
              <w:spacing w:after="100" w:before="100" w:line="276" w:lineRule="auto"/>
              <w:ind w:left="0" w:firstLine="0"/>
              <w:rPr>
                <w:rFonts w:ascii="Inter" w:cs="Inter" w:eastAsia="Inter" w:hAnsi="Inter"/>
                <w:b w:val="1"/>
                <w:sz w:val="20"/>
                <w:szCs w:val="20"/>
              </w:rPr>
            </w:pPr>
            <w:bookmarkStart w:colFirst="0" w:colLast="0" w:name="_gjdgxs" w:id="0"/>
            <w:bookmarkEnd w:id="0"/>
            <w:r w:rsidDel="00000000" w:rsidR="00000000" w:rsidRPr="00000000">
              <w:rPr>
                <w:rFonts w:ascii="Inter" w:cs="Inter" w:eastAsia="Inter" w:hAnsi="Inter"/>
                <w:b w:val="1"/>
                <w:sz w:val="20"/>
                <w:szCs w:val="20"/>
                <w:rtl w:val="0"/>
              </w:rPr>
              <w:t xml:space="preserve">Documente obligatorii aplicație</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E">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F">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10">
            <w:pPr>
              <w:pageBreakBefore w:val="0"/>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numPr>
                <w:ilvl w:val="0"/>
                <w:numId w:val="5"/>
              </w:numPr>
              <w:spacing w:after="100" w:before="100" w:line="276" w:lineRule="auto"/>
              <w:ind w:left="425.19685039370086" w:right="142.7952755905511" w:hanging="360"/>
              <w:rPr>
                <w:rFonts w:ascii="Roboto" w:cs="Roboto" w:eastAsia="Roboto" w:hAnsi="Roboto"/>
                <w:sz w:val="18"/>
                <w:szCs w:val="18"/>
              </w:rPr>
            </w:pPr>
            <w:r w:rsidDel="00000000" w:rsidR="00000000" w:rsidRPr="00000000">
              <w:rPr>
                <w:rFonts w:ascii="Inter" w:cs="Inter" w:eastAsia="Inter" w:hAnsi="Inter"/>
                <w:b w:val="1"/>
                <w:sz w:val="20"/>
                <w:szCs w:val="20"/>
                <w:rtl w:val="0"/>
              </w:rPr>
              <w:t xml:space="preserve">Anexa 1 </w:t>
            </w:r>
            <w:r w:rsidDel="00000000" w:rsidR="00000000" w:rsidRPr="00000000">
              <w:rPr>
                <w:rFonts w:ascii="Inter" w:cs="Inter" w:eastAsia="Inter" w:hAnsi="Inter"/>
                <w:sz w:val="20"/>
                <w:szCs w:val="20"/>
                <w:rtl w:val="0"/>
              </w:rPr>
              <w:t xml:space="preserve">- Aplicația completată online pentru bursa de creație, prin formularul paginii-anunț de pe site-ul centruldeproiecte.ro, respectiv specificațiilor apelului. Aplicația pdf se generează automat. Toate câmpurile trebuie completate.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4">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5">
            <w:pPr>
              <w:numPr>
                <w:ilvl w:val="0"/>
                <w:numId w:val="3"/>
              </w:numPr>
              <w:spacing w:after="100" w:before="100" w:line="276" w:lineRule="auto"/>
              <w:ind w:left="425.19685039370086" w:right="142.7952755905511" w:hanging="360"/>
              <w:rPr>
                <w:rFonts w:ascii="Roboto" w:cs="Roboto" w:eastAsia="Roboto" w:hAnsi="Roboto"/>
                <w:sz w:val="18"/>
                <w:szCs w:val="18"/>
              </w:rPr>
            </w:pPr>
            <w:r w:rsidDel="00000000" w:rsidR="00000000" w:rsidRPr="00000000">
              <w:rPr>
                <w:rFonts w:ascii="Inter" w:cs="Inter" w:eastAsia="Inter" w:hAnsi="Inter"/>
                <w:b w:val="1"/>
                <w:sz w:val="20"/>
                <w:szCs w:val="20"/>
                <w:rtl w:val="0"/>
              </w:rPr>
              <w:t xml:space="preserve">Anexa 1.1</w:t>
            </w:r>
            <w:r w:rsidDel="00000000" w:rsidR="00000000" w:rsidRPr="00000000">
              <w:rPr>
                <w:rFonts w:ascii="Inter" w:cs="Inter" w:eastAsia="Inter" w:hAnsi="Inter"/>
                <w:sz w:val="20"/>
                <w:szCs w:val="20"/>
                <w:rtl w:val="0"/>
              </w:rPr>
              <w:t xml:space="preserve"> –  Declarația pe propria răspundere privind eligibilitatea solicitantului, utilizând formularul pus la dispoziție de autoritatea finanțatoare, semnată, datată și </w:t>
            </w:r>
            <w:r w:rsidDel="00000000" w:rsidR="00000000" w:rsidRPr="00000000">
              <w:rPr>
                <w:rFonts w:ascii="Inter" w:cs="Inter" w:eastAsia="Inter" w:hAnsi="Inter"/>
                <w:sz w:val="20"/>
                <w:szCs w:val="20"/>
                <w:rtl w:val="0"/>
              </w:rPr>
              <w:t xml:space="preserve">scanată</w:t>
            </w:r>
            <w:r w:rsidDel="00000000" w:rsidR="00000000" w:rsidRPr="00000000">
              <w:rPr>
                <w:rFonts w:ascii="Inter" w:cs="Inter" w:eastAsia="Inter" w:hAnsi="Inter"/>
                <w:sz w:val="20"/>
                <w:szCs w:val="20"/>
                <w:rtl w:val="0"/>
              </w:rPr>
              <w:t xml:space="preserve">; aceasta va fi adusă în original în cazul contractării;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8">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numPr>
                <w:ilvl w:val="0"/>
                <w:numId w:val="6"/>
              </w:numPr>
              <w:spacing w:after="100" w:before="100" w:line="276" w:lineRule="auto"/>
              <w:ind w:left="425.19685039370086" w:right="142.7952755905511" w:hanging="360"/>
              <w:rPr>
                <w:rFonts w:ascii="Roboto" w:cs="Roboto" w:eastAsia="Roboto" w:hAnsi="Roboto"/>
                <w:sz w:val="18"/>
                <w:szCs w:val="18"/>
              </w:rPr>
            </w:pPr>
            <w:r w:rsidDel="00000000" w:rsidR="00000000" w:rsidRPr="00000000">
              <w:rPr>
                <w:rFonts w:ascii="Inter" w:cs="Inter" w:eastAsia="Inter" w:hAnsi="Inter"/>
                <w:b w:val="1"/>
                <w:sz w:val="20"/>
                <w:szCs w:val="20"/>
                <w:rtl w:val="0"/>
              </w:rPr>
              <w:t xml:space="preserve">CV</w:t>
            </w:r>
            <w:r w:rsidDel="00000000" w:rsidR="00000000" w:rsidRPr="00000000">
              <w:rPr>
                <w:rFonts w:ascii="Inter" w:cs="Inter" w:eastAsia="Inter" w:hAnsi="Inter"/>
                <w:sz w:val="20"/>
                <w:szCs w:val="20"/>
                <w:rtl w:val="0"/>
              </w:rPr>
              <w:t xml:space="preserve"> de maximum 5 pagini;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C">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numPr>
                <w:ilvl w:val="0"/>
                <w:numId w:val="4"/>
              </w:numPr>
              <w:spacing w:after="100" w:before="100" w:line="276" w:lineRule="auto"/>
              <w:ind w:left="425.19685039370086" w:right="142.7952755905511" w:hanging="360"/>
              <w:rPr>
                <w:rFonts w:ascii="Inter" w:cs="Inter" w:eastAsia="Inter" w:hAnsi="Inter"/>
                <w:sz w:val="18"/>
                <w:szCs w:val="18"/>
              </w:rPr>
            </w:pPr>
            <w:r w:rsidDel="00000000" w:rsidR="00000000" w:rsidRPr="00000000">
              <w:rPr>
                <w:rFonts w:ascii="Inter" w:cs="Inter" w:eastAsia="Inter" w:hAnsi="Inter"/>
                <w:b w:val="1"/>
                <w:sz w:val="20"/>
                <w:szCs w:val="20"/>
                <w:rtl w:val="0"/>
              </w:rPr>
              <w:t xml:space="preserve">Portofoliu cu lucrări sau proiecte</w:t>
            </w:r>
            <w:r w:rsidDel="00000000" w:rsidR="00000000" w:rsidRPr="00000000">
              <w:rPr>
                <w:rFonts w:ascii="Inter" w:cs="Inter" w:eastAsia="Inter" w:hAnsi="Inter"/>
                <w:sz w:val="20"/>
                <w:szCs w:val="20"/>
                <w:rtl w:val="0"/>
              </w:rPr>
              <w:t xml:space="preserve"> reprezentative pentru practica artistică a aplicantului; acesta poate să conțină fotografii, texte, linkuri către website-uri și către video-uri relevante etc.</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0">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numPr>
                <w:ilvl w:val="0"/>
                <w:numId w:val="6"/>
              </w:numPr>
              <w:spacing w:after="100" w:before="100" w:line="276" w:lineRule="auto"/>
              <w:ind w:left="425.19685039370086" w:right="142.7952755905511" w:hanging="360"/>
              <w:rPr>
                <w:rFonts w:ascii="Roboto" w:cs="Roboto" w:eastAsia="Roboto" w:hAnsi="Roboto"/>
                <w:sz w:val="18"/>
                <w:szCs w:val="18"/>
              </w:rPr>
            </w:pPr>
            <w:r w:rsidDel="00000000" w:rsidR="00000000" w:rsidRPr="00000000">
              <w:rPr>
                <w:rFonts w:ascii="Inter" w:cs="Inter" w:eastAsia="Inter" w:hAnsi="Inter"/>
                <w:b w:val="1"/>
                <w:sz w:val="20"/>
                <w:szCs w:val="20"/>
                <w:rtl w:val="0"/>
              </w:rPr>
              <w:t xml:space="preserve">Carte de identitate (scan / poză)</w:t>
            </w:r>
            <w:r w:rsidDel="00000000" w:rsidR="00000000" w:rsidRPr="00000000">
              <w:rPr>
                <w:rFonts w:ascii="Inter" w:cs="Inter" w:eastAsia="Inter" w:hAnsi="Inter"/>
                <w:sz w:val="20"/>
                <w:szCs w:val="20"/>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4">
            <w:pPr>
              <w:pageBreakBefore w:val="0"/>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5">
            <w:pPr>
              <w:numPr>
                <w:ilvl w:val="0"/>
                <w:numId w:val="1"/>
              </w:numPr>
              <w:spacing w:after="100" w:before="100" w:line="276" w:lineRule="auto"/>
              <w:ind w:left="425.19685039370086" w:right="142.7952755905511" w:hanging="270"/>
              <w:rPr>
                <w:rFonts w:ascii="Roboto" w:cs="Roboto" w:eastAsia="Roboto" w:hAnsi="Roboto"/>
                <w:sz w:val="20"/>
                <w:szCs w:val="20"/>
              </w:rPr>
            </w:pPr>
            <w:bookmarkStart w:colFirst="0" w:colLast="0" w:name="_r6fkzg3xbx8v" w:id="1"/>
            <w:bookmarkEnd w:id="1"/>
            <w:r w:rsidDel="00000000" w:rsidR="00000000" w:rsidRPr="00000000">
              <w:rPr>
                <w:rFonts w:ascii="Inter" w:cs="Inter" w:eastAsia="Inter" w:hAnsi="Inter"/>
                <w:b w:val="1"/>
                <w:sz w:val="20"/>
                <w:szCs w:val="20"/>
                <w:rtl w:val="0"/>
              </w:rPr>
              <w:t xml:space="preserve">Alte documente </w:t>
            </w:r>
            <w:r w:rsidDel="00000000" w:rsidR="00000000" w:rsidRPr="00000000">
              <w:rPr>
                <w:rFonts w:ascii="Inter" w:cs="Inter" w:eastAsia="Inter" w:hAnsi="Inter"/>
                <w:sz w:val="20"/>
                <w:szCs w:val="20"/>
                <w:rtl w:val="0"/>
              </w:rPr>
              <w:t xml:space="preserve">(OPȚIONAL)</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pe care solicitantul le consideră relevante pentru activitatea sa (cataloage în format digital, publicații, diplome, acreditări, documentații, merite sau alte dovezi ale activității artistice și ale participării în proiecte sau programe de creație artistică proprii).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ageBreakBefore w:val="0"/>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8">
            <w:pPr>
              <w:pageBreakBefore w:val="0"/>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2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rPr>
          <w:rFonts w:ascii="Inter" w:cs="Inter" w:eastAsia="Inter" w:hAnsi="Inter"/>
          <w:sz w:val="20"/>
          <w:szCs w:val="20"/>
        </w:rPr>
      </w:pPr>
      <w:r w:rsidDel="00000000" w:rsidR="00000000" w:rsidRPr="00000000">
        <w:rPr>
          <w:rtl w:val="0"/>
        </w:rPr>
      </w:r>
    </w:p>
    <w:sectPr>
      <w:headerReference r:id="rId6" w:type="default"/>
      <w:footerReference r:id="rId7" w:type="default"/>
      <w:pgSz w:h="11906" w:w="16838" w:orient="landscape"/>
      <w:pgMar w:bottom="1440" w:top="1440" w:left="2267.716535433071" w:right="2391.02362204724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4680"/>
        <w:tab w:val="right" w:pos="9360"/>
      </w:tabs>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spacing w:after="0" w:line="276" w:lineRule="auto"/>
      <w:ind w:left="-1559.0551181102362"/>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-47624</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B">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2C">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E">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F">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3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ageBreakBefore w:val="0"/>
      <w:spacing w:after="0" w:line="276" w:lineRule="auto"/>
      <w:ind w:left="-1559.0551181102362"/>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33">
    <w:pPr>
      <w:pageBreakBefore w:val="0"/>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