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green"/>
          <w:rtl w:val="0"/>
        </w:rPr>
        <w:t xml:space="preserve">Anexă la Contract IES-CFN nr. 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276" w:lineRule="auto"/>
        <w:ind w:right="142"/>
        <w:rPr>
          <w:rFonts w:ascii="Inter" w:cs="Inter" w:eastAsia="Inter" w:hAnsi="Inter"/>
          <w:b w:val="1"/>
          <w:sz w:val="32"/>
          <w:szCs w:val="32"/>
        </w:rPr>
      </w:pPr>
      <w:r w:rsidDel="00000000" w:rsidR="00000000" w:rsidRPr="00000000">
        <w:rPr>
          <w:rFonts w:ascii="Inter" w:cs="Inter" w:eastAsia="Inter" w:hAnsi="Inter"/>
          <w:b w:val="1"/>
          <w:sz w:val="32"/>
          <w:szCs w:val="32"/>
          <w:rtl w:val="0"/>
        </w:rPr>
        <w:t xml:space="preserve">Grafic de finanțare | Anexa 7.1</w:t>
      </w:r>
    </w:p>
    <w:p w:rsidR="00000000" w:rsidDel="00000000" w:rsidP="00000000" w:rsidRDefault="00000000" w:rsidRPr="00000000" w14:paraId="00000003">
      <w:pPr>
        <w:spacing w:after="100" w:before="100" w:line="276" w:lineRule="auto"/>
        <w:ind w:right="142"/>
        <w:rPr>
          <w:rFonts w:ascii="Inter" w:cs="Inter" w:eastAsia="Inter" w:hAnsi="Inte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…………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 lei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reprezentând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….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%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din valoarea totală a bugetului proiectului (unde valoarea totală a proiectului bugetului = valoarea finanțării nerambursabile solicitate + valoarea cofinanțării);</w:t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Tranșa inițială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……..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 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(reprezentând o tranșă de max. 85% din valoarea finanțării nerambursabile solicitate)și procentul de cofinanțare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…%; (detaliați acțiunile concrete desfășurate conform rubricii Activități din cererea de finanțare, includeți și date calendaristice)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Tranșa finală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………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(reprezentând tranșa finală de min. 15% din valoarea finanțării nerambursabile și procentul de cofinanțare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 %)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Activități derulate: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(detaliați acțiunile concrete desfășurate conform rubricii Activități din cererea de finanțare, includeți și date calendaristice)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right="142" w:firstLine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12">
      <w:pPr>
        <w:spacing w:after="0" w:line="276" w:lineRule="auto"/>
        <w:ind w:left="0" w:right="142" w:firstLine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13">
      <w:pPr>
        <w:spacing w:after="0" w:line="276" w:lineRule="auto"/>
        <w:ind w:left="0" w:right="142" w:firstLine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14">
      <w:pPr>
        <w:spacing w:after="0" w:line="276" w:lineRule="auto"/>
        <w:ind w:left="720" w:right="142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  <w:highlight w:val="green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green"/>
          <w:rtl w:val="0"/>
        </w:rPr>
        <w:t xml:space="preserve">……………..</w:t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0"/>
        <w:gridCol w:w="4680"/>
        <w:tblGridChange w:id="0">
          <w:tblGrid>
            <w:gridCol w:w="4710"/>
            <w:gridCol w:w="4680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Centrul de Proiecte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al Municipiului Timișoara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Contabil-șef/ CFP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highlight w:val="yellow"/>
                <w:rtl w:val="0"/>
              </w:rPr>
              <w:t xml:space="preserve">…………………….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highlight w:val="yellow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highlight w:val="yellow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jc w:val="right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highlight w:val="yellow"/>
                <w:rtl w:val="0"/>
              </w:rPr>
              <w:t xml:space="preserve">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76" w:lineRule="auto"/>
        <w:ind w:right="142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.38582677165356" w:top="680.3149606299213" w:left="1440.0000000000002" w:right="578.267716535433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leader="none" w:pos="4680"/>
        <w:tab w:val="right" w:leader="none" w:pos="9360"/>
      </w:tabs>
      <w:spacing w:after="0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76" w:lineRule="auto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Roboto" w:cs="Roboto" w:eastAsia="Roboto" w:hAnsi="Roboto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3A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C52FA"/>
  </w:style>
  <w:style w:type="paragraph" w:styleId="Footer">
    <w:name w:val="footer"/>
    <w:basedOn w:val="Normal"/>
    <w:link w:val="Foot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C52FA"/>
  </w:style>
  <w:style w:type="table" w:styleId="a0" w:customStyle="1">
    <w:basedOn w:val="TableNormal"/>
    <w:pPr>
      <w:spacing w:after="0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vUM+LG2C+AC3h6NbkITxnTG2PA==">CgMxLjA4AHIhMTVqVzNIOFVGX0x2RnlWRFdscEVpcGJENXNSc1JOd3lI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2022-04-06T11:03:00Z</dcterms:created>
  <dc:creator>Florentina</dc:creator>
</cp:coreProperties>
</file>