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="276" w:lineRule="auto"/>
        <w:ind w:right="142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privind finanțarea nerambursabilă a proiectelor culturale care extind și consolidează </w:t>
      </w:r>
      <w:r w:rsidDel="00000000" w:rsidR="00000000" w:rsidRPr="00000000">
        <w:rPr>
          <w:rtl w:val="0"/>
        </w:rPr>
        <w:t xml:space="preserve">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76" w:lineRule="auto"/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8">
      <w:pPr>
        <w:spacing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B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426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426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851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851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851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1">
      <w:pPr>
        <w:spacing w:line="276" w:lineRule="auto"/>
        <w:ind w:right="142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14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5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B">
      <w:pPr>
        <w:spacing w:line="276" w:lineRule="auto"/>
        <w:ind w:right="142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14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F">
      <w:pPr>
        <w:spacing w:after="100" w:before="10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Rule="auto"/>
              <w:ind w:right="14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Rule="auto"/>
              <w:ind w:right="14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Rule="auto"/>
              <w:ind w:right="14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B">
            <w:pPr>
              <w:spacing w:after="100" w:before="100" w:lineRule="auto"/>
              <w:ind w:right="14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00" w:before="100" w:lineRule="auto"/>
              <w:ind w:right="14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D">
            <w:pPr>
              <w:spacing w:after="100" w:before="100" w:lineRule="auto"/>
              <w:ind w:right="14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00" w:before="100" w:lineRule="auto"/>
              <w:ind w:right="14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right="142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right="142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right="142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right="142"/>
              <w:rPr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00" w:before="100" w:lineRule="auto"/>
              <w:ind w:right="14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00" w:before="100" w:lineRule="auto"/>
              <w:ind w:right="142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00" w:before="100" w:lineRule="auto"/>
        <w:ind w:righ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Roboto" w:cs="Roboto" w:eastAsia="Roboto" w:hAnsi="Roboto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48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line="276" w:lineRule="auto"/>
      <w:ind w:left="-90" w:firstLine="0"/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u1bxAXgKZcsUSt+r56tjz5nhw==">AMUW2mVJLRyuoFdV3k41/BQDz8Wnsseplbo4Cs8W55KQyJGQ+/7glfTO1gxv7QYfzRs+J+JWzADhJDiXl4MPDwhfoRDsA/ccurhrleA6YWPZNOAPn5gpaD4=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