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Anexa nr. 7.1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Ghid decont de cheltuieli din finanțarea nerambursabilă de la Centrul de Proiecte al Municipiului Timișoara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14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Adresă de înaintare a decontului intermediar /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contractului de finanțare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3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7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20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2UpQOuvNlCn2oZD/F3CPSDaSQ==">AMUW2mW3jmfwDZ3CxQEzKrEsjafJuH2lp38tJnT1Pmm24TWMQnh6erQDMSGAD4CE7fH8l5nl0oFyhs3MA6YtPLQGnBS94eSpoN3PYK/62OsUH8li1ZcOBcI=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