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Anexă la Contract IES-CFN nr. …….. / …………………………………..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00" w:line="276" w:lineRule="auto"/>
        <w:ind w:right="142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Grafic de finanțare | Anexa 7</w:t>
      </w:r>
    </w:p>
    <w:p w:rsidR="00000000" w:rsidDel="00000000" w:rsidP="00000000" w:rsidRDefault="00000000" w:rsidRPr="00000000" w14:paraId="00000004">
      <w:pPr>
        <w:spacing w:after="100" w:before="100" w:line="276" w:lineRule="auto"/>
        <w:rPr>
          <w:rFonts w:ascii="Inter" w:cs="Inter" w:eastAsia="Inter" w:hAnsi="Inter"/>
          <w:sz w:val="20"/>
          <w:szCs w:val="20"/>
          <w:highlight w:val="white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white"/>
          <w:rtl w:val="0"/>
        </w:rPr>
        <w:t xml:space="preserve">Pentru finanțarea nerambursabilă a proiectelor care constituie programul cultural prioritar Timișoara 2023 | Boarding Station în 2022.</w:t>
      </w:r>
    </w:p>
    <w:p w:rsidR="00000000" w:rsidDel="00000000" w:rsidP="00000000" w:rsidRDefault="00000000" w:rsidRPr="00000000" w14:paraId="00000005">
      <w:pPr>
        <w:spacing w:after="100" w:before="100" w:line="276" w:lineRule="auto"/>
        <w:rPr>
          <w:rFonts w:ascii="Inter" w:cs="Inter" w:eastAsia="Inter" w:hAnsi="Inter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Valoarea finanțării nerambursabile solicitate: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 lei</w:t>
      </w:r>
    </w:p>
    <w:p w:rsidR="00000000" w:rsidDel="00000000" w:rsidP="00000000" w:rsidRDefault="00000000" w:rsidRPr="00000000" w14:paraId="00000007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8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o tranșă de max. 85% din valoarea finanțării nerambursabile solicitate)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Contribuția Beneficiarului: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right="142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11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tranșa finală de min. 15% din valoarea finanțării nerambursabile solicitate)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425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Contribuția Beneficiarului: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425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850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850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76" w:lineRule="auto"/>
        <w:ind w:left="850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 …………………………....</w:t>
      </w:r>
    </w:p>
    <w:p w:rsidR="00000000" w:rsidDel="00000000" w:rsidP="00000000" w:rsidRDefault="00000000" w:rsidRPr="00000000" w14:paraId="0000001A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8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93"/>
        <w:gridCol w:w="4694"/>
        <w:tblGridChange w:id="0">
          <w:tblGrid>
            <w:gridCol w:w="4693"/>
            <w:gridCol w:w="4694"/>
          </w:tblGrid>
        </w:tblGridChange>
      </w:tblGrid>
      <w:tr>
        <w:trPr>
          <w:cantSplit w:val="0"/>
          <w:trHeight w:val="4017.68554687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Autoritate finanțatoare,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Centrul de Proiecte al Municipiului Timișoara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Director,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Alexandra-Maria Rigler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Viză juridic,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Robert Fulda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Contabil-șef / CFP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Nicușor-George Huruială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Beneficiar,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Reprezentant legal,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Responsabil financiar,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Coordonator ofertă culturală,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</w:tc>
      </w:tr>
    </w:tbl>
    <w:p w:rsidR="00000000" w:rsidDel="00000000" w:rsidP="00000000" w:rsidRDefault="00000000" w:rsidRPr="00000000" w14:paraId="00000037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40" w:left="1700" w:right="1711" w:header="568" w:footer="4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center" w:pos="4680"/>
        <w:tab w:val="right" w:pos="9360"/>
      </w:tabs>
      <w:spacing w:after="0" w:lineRule="auto"/>
      <w:rPr>
        <w:rFonts w:ascii="Inter" w:cs="Inter" w:eastAsia="Inter" w:hAnsi="Inter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tabs>
        <w:tab w:val="center" w:pos="4680"/>
        <w:tab w:val="right" w:pos="9360"/>
      </w:tabs>
      <w:spacing w:after="0" w:lineRule="auto"/>
      <w:rPr>
        <w:rFonts w:ascii="Inter" w:cs="Inter" w:eastAsia="Inter" w:hAnsi="Inter"/>
        <w:sz w:val="18"/>
        <w:szCs w:val="18"/>
      </w:rPr>
    </w:pPr>
    <w:r w:rsidDel="00000000" w:rsidR="00000000" w:rsidRPr="00000000">
      <w:rPr>
        <w:rFonts w:ascii="Inter" w:cs="Inter" w:eastAsia="Inter" w:hAnsi="Inter"/>
        <w:sz w:val="20"/>
        <w:szCs w:val="20"/>
        <w:rtl w:val="0"/>
      </w:rPr>
      <w:t xml:space="preserve">Pagina </w:t>
    </w:r>
    <w:r w:rsidDel="00000000" w:rsidR="00000000" w:rsidRPr="00000000">
      <w:rPr>
        <w:rFonts w:ascii="Inter" w:cs="Inter" w:eastAsia="Inter" w:hAnsi="Inter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Inter" w:cs="Inter" w:eastAsia="Inter" w:hAnsi="Inter"/>
        <w:sz w:val="20"/>
        <w:szCs w:val="20"/>
        <w:rtl w:val="0"/>
      </w:rPr>
      <w:t xml:space="preserve"> din </w:t>
    </w:r>
    <w:r w:rsidDel="00000000" w:rsidR="00000000" w:rsidRPr="00000000">
      <w:rPr>
        <w:rFonts w:ascii="Inter" w:cs="Inter" w:eastAsia="Inter" w:hAnsi="Inter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after="0" w:line="276" w:lineRule="auto"/>
      <w:rPr>
        <w:rFonts w:ascii="Roboto" w:cs="Roboto" w:eastAsia="Roboto" w:hAnsi="Roboto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spacing w:after="0"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-9521</wp:posOffset>
          </wp:positionV>
          <wp:extent cx="579938" cy="579938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spacing w:after="0"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sz w:val="16"/>
        <w:szCs w:val="16"/>
        <w:highlight w:val="white"/>
        <w:rtl w:val="0"/>
      </w:rPr>
      <w:t xml:space="preserve">Str. Vasile Alecsandri, nr. 1, SAD 7 | </w:t>
    </w:r>
    <w:r w:rsidDel="00000000" w:rsidR="00000000" w:rsidRPr="00000000">
      <w:rPr>
        <w:rFonts w:ascii="Roboto" w:cs="Roboto" w:eastAsia="Roboto" w:hAnsi="Roboto"/>
        <w:color w:val="3c4043"/>
        <w:sz w:val="16"/>
        <w:szCs w:val="16"/>
        <w:highlight w:val="white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after="0"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pacing w:after="0"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hyperlink r:id="rId2">
      <w:r w:rsidDel="00000000" w:rsidR="00000000" w:rsidRPr="00000000">
        <w:rPr>
          <w:rFonts w:ascii="Inter" w:cs="Inter" w:eastAsia="Inter" w:hAnsi="Inter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spacing w:after="0"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hyperlink r:id="rId3">
      <w:r w:rsidDel="00000000" w:rsidR="00000000" w:rsidRPr="00000000">
        <w:rPr>
          <w:rFonts w:ascii="Inter" w:cs="Inter" w:eastAsia="Inter" w:hAnsi="Inter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spacing w:after="0" w:line="276" w:lineRule="auto"/>
      <w:ind w:left="-90" w:firstLine="0"/>
      <w:rPr>
        <w:rFonts w:ascii="Roboto" w:cs="Roboto" w:eastAsia="Roboto" w:hAnsi="Roboto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8C52FA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8C52FA"/>
  </w:style>
  <w:style w:type="paragraph" w:styleId="Footer">
    <w:name w:val="footer"/>
    <w:basedOn w:val="Normal"/>
    <w:link w:val="FooterChar"/>
    <w:uiPriority w:val="99"/>
    <w:unhideWhenUsed w:val="1"/>
    <w:rsid w:val="008C52FA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8C52F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g/xpiBwIYXQcXiKm//eDznO1Ag==">AMUW2mXZoX1hZ9rEH1PeZyYZi4fi/zcVGHeVXLVKWhBJEd0jEdXhnzAAf2NJNSqSUuRj8lQawGT4/g2+ZssPjx7DQPaafqqZ3OtiNVDRf5MYvVEOlkcZBmY=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2022-03-02T12:12:00Z</dcterms:created>
</cp:coreProperties>
</file>