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50%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intermediară de max. 30%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Dată estimată pentru alocarea tranșei 2: …..</w:t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25% din valoarea finanțării nerambursabile solicitate)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2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93"/>
        <w:gridCol w:w="4694"/>
        <w:tblGridChange w:id="0">
          <w:tblGrid>
            <w:gridCol w:w="4693"/>
            <w:gridCol w:w="4694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 Municipiului Timișoara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B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="276" w:lineRule="auto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Roboto" w:cs="Roboto" w:eastAsia="Roboto" w:hAnsi="Roboto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76" w:lineRule="auto"/>
      <w:ind w:left="-90" w:firstLine="0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C52FA"/>
  </w:style>
  <w:style w:type="paragraph" w:styleId="Footer">
    <w:name w:val="footer"/>
    <w:basedOn w:val="Normal"/>
    <w:link w:val="Foot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C52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XWyIrYPQ+mV1YbIC9NZTs5WLg==">AMUW2mXaAOikmJKJphG25Hp62adbV6fgXQl1OJJ90+Mt1hKdErnWnx1Ju4YZCbkPV4C3WJEe82ALB5KeRcjnTfaB2C0Ij5iRER/y148QT33m/qSru+4q7wA=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2022-03-02T12:12:00Z</dcterms:created>
</cp:coreProperties>
</file>