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30"/>
        <w:gridCol w:w="4260"/>
        <w:tblGridChange w:id="0">
          <w:tblGrid>
            <w:gridCol w:w="5130"/>
            <w:gridCol w:w="4260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Coordonatorul acțiunii pentru comunitate,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932D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932D1"/>
  </w:style>
  <w:style w:type="paragraph" w:styleId="Footer">
    <w:name w:val="footer"/>
    <w:basedOn w:val="Normal"/>
    <w:link w:val="FooterChar"/>
    <w:uiPriority w:val="99"/>
    <w:unhideWhenUsed w:val="1"/>
    <w:rsid w:val="005932D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932D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IFBerT6ZRoI63QtoM1vqpo1rg==">AMUW2mXqWYXJnV2Ep5D9dAtCb8t3iB0xK+jXEo4irqz+LQ5smanPB9CQZcW+FPqX10ek4pShdwpwdygu7PfrSpwFVM7UnQGYxWitoDbaV4mDEBVzXiOmPoU=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2022-03-03T08:41:00Z</dcterms:created>
</cp:coreProperties>
</file>