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ofertei culturale: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 apel/tipul ofertei culturale (acțiune, proiect, program):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 …………………………………………..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activităților desfăşurate în cadrul ofertei culturale până la data întocmirii raportului: </w:t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acum și prezentațile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 ș.a) 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artistică, ș.a)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comunicată oferta culturală/ identitatea vizuală a finanțatorului; se vor insera hyperlink-uri către sursele enumerate; pentru număr de apariții - cuantificare în cifre!)</w:t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1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ofertei culturale prin enumerare și felul în care au fost folosite/distribuite către beneficiari, tiraj/ cantitate)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imprimări pe  vinil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ș.a)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signalistică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ofertei culturale: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ofertei culturale)</w:t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ofertei culturale,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ofertei culturale.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 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QQ99z+eZIUxc0dbz7ga/sJdjw==">AMUW2mXY7N/eAyVXVAqPzrBp7K4kZdUG2d7ZYFJn4yvBgGpmBhi2U/TJkfKAVhNOKKEsOKohgzQJ3FvMF7J9qc1xTqCJiB+5dQXhAwiQPpU/9jhmyHGOpP3PugHVQtZT0eRD/AxCKz00q1HvUJ0XBx/1ARZtZ8wgX5fQr9jPklNmOZMAmc3Y4mLUPhXLFDgXAeDlPZOmUnbXTNKomfd2w7991WOtyNUViyIanW60+4fswIhQmKh9gX3aKyBfa3PK2ZUmg0MQ6p4C4UgRtnapGS6LwNlARKSB/vn+Ya+DWVwPNAq6iowm1ygmvB5SPiqQDFBPZy1vrMMYxhaXZWBNzvmzQtVl1zTWS1sI4lAmnseik9WPmK4mShzz+tzzJYeYr+cL34T39NTajeKj3ZHo/sUuck6M5Z1Fotlw4c2+Y7TuEbj4FnXt+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